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 xml:space="preserve">竞 </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4</w:t>
      </w:r>
      <w:r>
        <w:rPr>
          <w:rFonts w:hint="eastAsia" w:ascii="宋体" w:hAnsi="宋体" w:eastAsia="宋体" w:cs="宋体"/>
          <w:bCs/>
          <w:sz w:val="32"/>
          <w:szCs w:val="32"/>
          <w:lang w:val="zh-CN"/>
        </w:rPr>
        <w:t>年</w:t>
      </w:r>
      <w:r>
        <w:rPr>
          <w:rFonts w:hint="eastAsia" w:ascii="宋体" w:hAnsi="宋体" w:eastAsia="宋体" w:cs="宋体"/>
          <w:bCs/>
          <w:sz w:val="32"/>
          <w:szCs w:val="32"/>
        </w:rPr>
        <w:t>3</w:t>
      </w:r>
      <w:r>
        <w:rPr>
          <w:rFonts w:hint="eastAsia" w:ascii="宋体" w:hAnsi="宋体" w:eastAsia="宋体" w:cs="宋体"/>
          <w:bCs/>
          <w:sz w:val="32"/>
          <w:szCs w:val="32"/>
          <w:lang w:val="zh-CN"/>
        </w:rPr>
        <w:t>月</w:t>
      </w:r>
      <w:bookmarkStart w:id="0" w:name="_Hlt101843627"/>
      <w:bookmarkEnd w:id="0"/>
      <w:bookmarkStart w:id="1" w:name="_Hlt101233737"/>
      <w:bookmarkEnd w:id="1"/>
    </w:p>
    <w:p>
      <w:pPr>
        <w:pStyle w:val="25"/>
        <w:rPr>
          <w:lang w:val="zh-CN"/>
        </w:rPr>
      </w:pPr>
      <w:r>
        <w:rPr>
          <w:lang w:val="zh-CN"/>
        </w:rPr>
        <w:br w:type="page"/>
      </w:r>
    </w:p>
    <w:p>
      <w:pPr>
        <w:pStyle w:val="2"/>
        <w:spacing w:line="360" w:lineRule="auto"/>
        <w:jc w:val="center"/>
        <w:rPr>
          <w:rFonts w:ascii="宋体" w:hAnsi="宋体" w:eastAsia="宋体"/>
        </w:rPr>
      </w:pPr>
      <w:r>
        <w:rPr>
          <w:rFonts w:hint="eastAsia" w:ascii="宋体" w:hAnsi="宋体" w:eastAsia="宋体"/>
          <w:bCs w:val="0"/>
          <w:sz w:val="36"/>
        </w:rPr>
        <w:t>第一章 比选邀请</w:t>
      </w:r>
    </w:p>
    <w:p>
      <w:pPr>
        <w:spacing w:line="500" w:lineRule="exact"/>
        <w:ind w:firstLine="480"/>
        <w:rPr>
          <w:rFonts w:ascii="宋体" w:hAnsi="宋体" w:eastAsia="宋体" w:cs="Times New Roman"/>
          <w:b/>
          <w:bCs/>
          <w:sz w:val="24"/>
          <w:szCs w:val="24"/>
        </w:rPr>
      </w:pPr>
      <w:r>
        <w:rPr>
          <w:rFonts w:hint="eastAsia" w:ascii="宋体" w:hAnsi="宋体" w:eastAsia="宋体" w:cs="Times New Roman"/>
          <w:sz w:val="24"/>
          <w:szCs w:val="24"/>
        </w:rPr>
        <w:t>四川铁道职业学院拟对2024年度零星工程维修服务项目进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pPr>
        <w:numPr>
          <w:ilvl w:val="0"/>
          <w:numId w:val="2"/>
        </w:num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项目名称：2024年度零星工程维修服务项目</w:t>
      </w:r>
    </w:p>
    <w:p>
      <w:pPr>
        <w:spacing w:line="5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二、项目编号：CTZY-CG-2024011</w:t>
      </w:r>
    </w:p>
    <w:p>
      <w:p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(七)本项目不接受联合体参与招标。</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p>
    <w:p>
      <w:pPr>
        <w:spacing w:line="360" w:lineRule="auto"/>
        <w:ind w:firstLine="482" w:firstLineChars="200"/>
        <w:outlineLvl w:val="1"/>
        <w:rPr>
          <w:rFonts w:ascii="宋体" w:hAnsi="宋体" w:eastAsia="宋体" w:cs="Times New Roman"/>
          <w:b/>
          <w:sz w:val="24"/>
          <w:szCs w:val="24"/>
        </w:rPr>
      </w:pP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2024年3月</w:t>
      </w:r>
      <w:r>
        <w:rPr>
          <w:rFonts w:hint="eastAsia" w:ascii="宋体" w:hAnsi="宋体" w:eastAsia="宋体" w:cs="Times New Roman"/>
          <w:sz w:val="24"/>
          <w:szCs w:val="24"/>
          <w:lang w:val="en-US" w:eastAsia="zh-CN"/>
        </w:rPr>
        <w:t>25</w:t>
      </w:r>
      <w:r>
        <w:rPr>
          <w:rFonts w:hint="eastAsia" w:ascii="宋体" w:hAnsi="宋体" w:eastAsia="宋体" w:cs="Times New Roman"/>
          <w:sz w:val="24"/>
          <w:szCs w:val="24"/>
        </w:rPr>
        <w:t>日时10：00分(北京时间)</w:t>
      </w:r>
    </w:p>
    <w:p>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bookmarkStart w:id="34" w:name="_GoBack"/>
      <w:bookmarkEnd w:id="34"/>
    </w:p>
    <w:p>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7"/>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八、提交比选申请文件地点和比选地点</w:t>
      </w:r>
    </w:p>
    <w:p>
      <w:pPr>
        <w:pStyle w:val="8"/>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人：贺老师、李老师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联系电话：028-68939875、68939947</w:t>
      </w: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
      <w:pPr>
        <w:pStyle w:val="16"/>
        <w:rPr>
          <w:rFonts w:ascii="宋体" w:hAnsi="宋体" w:eastAsia="宋体" w:cs="Times New Roman"/>
          <w:sz w:val="24"/>
          <w:szCs w:val="24"/>
        </w:rPr>
      </w:pPr>
    </w:p>
    <w:p>
      <w:pPr>
        <w:widowControl/>
        <w:spacing w:line="520" w:lineRule="exact"/>
        <w:jc w:val="center"/>
        <w:outlineLvl w:val="0"/>
        <w:rPr>
          <w:rFonts w:ascii="宋体" w:hAnsi="宋体" w:eastAsia="宋体" w:cs="仿宋"/>
          <w:b/>
          <w:sz w:val="36"/>
          <w:szCs w:val="32"/>
        </w:rPr>
      </w:pPr>
      <w:bookmarkStart w:id="2" w:name="_Toc4075"/>
      <w:bookmarkStart w:id="3" w:name="_Toc18147"/>
      <w:bookmarkStart w:id="4" w:name="_Toc23677"/>
    </w:p>
    <w:p>
      <w:pPr>
        <w:widowControl/>
        <w:spacing w:line="520" w:lineRule="exact"/>
        <w:jc w:val="center"/>
        <w:outlineLvl w:val="0"/>
        <w:rPr>
          <w:rFonts w:ascii="宋体" w:hAnsi="宋体" w:eastAsia="宋体" w:cs="仿宋"/>
          <w:b/>
          <w:sz w:val="36"/>
          <w:szCs w:val="32"/>
        </w:rPr>
      </w:pPr>
    </w:p>
    <w:p>
      <w:pPr>
        <w:widowControl/>
        <w:spacing w:line="520" w:lineRule="exact"/>
        <w:jc w:val="center"/>
        <w:outlineLvl w:val="0"/>
        <w:rPr>
          <w:rFonts w:ascii="宋体" w:hAnsi="宋体" w:eastAsia="宋体" w:cs="仿宋"/>
          <w:b/>
          <w:sz w:val="36"/>
          <w:szCs w:val="32"/>
        </w:rPr>
      </w:pPr>
    </w:p>
    <w:p>
      <w:pPr>
        <w:widowControl/>
        <w:spacing w:line="520" w:lineRule="exact"/>
        <w:jc w:val="center"/>
        <w:outlineLvl w:val="0"/>
        <w:rPr>
          <w:rFonts w:ascii="宋体" w:hAnsi="宋体" w:eastAsia="宋体" w:cs="仿宋"/>
          <w:b/>
          <w:sz w:val="36"/>
          <w:szCs w:val="32"/>
        </w:rPr>
      </w:pPr>
    </w:p>
    <w:p>
      <w:pPr>
        <w:widowControl/>
        <w:spacing w:line="520" w:lineRule="exact"/>
        <w:jc w:val="center"/>
        <w:outlineLvl w:val="0"/>
        <w:rPr>
          <w:rFonts w:ascii="宋体" w:hAnsi="宋体" w:eastAsia="宋体" w:cs="仿宋"/>
          <w:b/>
          <w:sz w:val="36"/>
          <w:szCs w:val="32"/>
        </w:rPr>
      </w:pPr>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0"/>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人民币</w:t>
            </w:r>
            <w:r>
              <w:rPr>
                <w:rFonts w:hint="eastAsia" w:cs="Times New Roman"/>
                <w:kern w:val="2"/>
              </w:rPr>
              <w:t>18</w:t>
            </w:r>
            <w:r>
              <w:rPr>
                <w:rFonts w:hint="eastAsia" w:cs="Times New Roman"/>
                <w:kern w:val="2"/>
                <w:lang w:val="zh-CN"/>
              </w:rPr>
              <w:t>万元</w:t>
            </w:r>
          </w:p>
          <w:p>
            <w:pPr>
              <w:pStyle w:val="39"/>
              <w:spacing w:line="360" w:lineRule="exact"/>
              <w:ind w:left="210" w:leftChars="100"/>
              <w:jc w:val="both"/>
              <w:rPr>
                <w:rFonts w:cs="Times New Roman"/>
                <w:kern w:val="2"/>
                <w:lang w:val="zh-CN"/>
              </w:rPr>
            </w:pPr>
            <w:r>
              <w:rPr>
                <w:rFonts w:hint="eastAsia" w:cs="Times New Roman"/>
                <w:kern w:val="2"/>
                <w:lang w:val="zh-CN"/>
              </w:rPr>
              <w:t>超过最高限价的报价，其比选</w:t>
            </w:r>
            <w:bookmarkStart w:id="5" w:name="_Hlk136353364"/>
            <w:r>
              <w:rPr>
                <w:rFonts w:hint="eastAsia" w:cs="Times New Roman"/>
                <w:kern w:val="2"/>
                <w:lang w:val="zh-CN"/>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cs="Times New Roman"/>
                <w:sz w:val="22"/>
                <w:szCs w:val="22"/>
                <w:lang w:val="zh-CN"/>
              </w:rPr>
              <w:t>不正当竞争预防措施</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imes New Roman"/>
                <w:kern w:val="2"/>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rPr>
            </w:pPr>
            <w:r>
              <w:rPr>
                <w:rFonts w:hint="eastAsia" w:cs="Times New Roman"/>
                <w:sz w:val="22"/>
                <w:szCs w:val="22"/>
              </w:rPr>
              <w:t>信用记录查询</w:t>
            </w:r>
          </w:p>
          <w:p>
            <w:pPr>
              <w:pStyle w:val="39"/>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（1）比选人通过</w:t>
            </w:r>
          </w:p>
          <w:p>
            <w:pPr>
              <w:pStyle w:val="39"/>
              <w:spacing w:line="360" w:lineRule="exact"/>
              <w:ind w:left="210" w:leftChars="100"/>
              <w:jc w:val="both"/>
              <w:rPr>
                <w:rFonts w:cs="Times New Roman"/>
                <w:kern w:val="2"/>
                <w:lang w:val="zh-CN"/>
              </w:rPr>
            </w:pPr>
            <w:r>
              <w:rPr>
                <w:rFonts w:hint="eastAsia" w:cs="Times New Roman"/>
                <w:kern w:val="2"/>
                <w:lang w:val="zh-CN"/>
              </w:rPr>
              <w:t>信用中国（</w:t>
            </w:r>
            <w:r>
              <w:fldChar w:fldCharType="begin"/>
            </w:r>
            <w:r>
              <w:instrText xml:space="preserve"> HYPERLINK "http://www.creditchina.gov.cn）、中国政府采购网（www.ccgp.gov.cn）" </w:instrText>
            </w:r>
            <w: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pPr>
              <w:pStyle w:val="39"/>
              <w:spacing w:line="360" w:lineRule="exact"/>
              <w:ind w:left="210" w:leftChars="100"/>
              <w:jc w:val="both"/>
              <w:rPr>
                <w:rFonts w:cs="Times New Roman"/>
                <w:kern w:val="2"/>
                <w:lang w:val="zh-CN"/>
              </w:rPr>
            </w:pPr>
            <w:r>
              <w:rPr>
                <w:rFonts w:hint="eastAsia" w:cs="Times New Roman"/>
                <w:kern w:val="2"/>
                <w:lang w:val="zh-CN"/>
              </w:rPr>
              <w:t>（2）查询时间：本项目资格审查时；</w:t>
            </w:r>
          </w:p>
          <w:p>
            <w:pPr>
              <w:pStyle w:val="39"/>
              <w:spacing w:line="360" w:lineRule="exact"/>
              <w:ind w:left="210" w:leftChars="100"/>
              <w:jc w:val="both"/>
              <w:rPr>
                <w:rFonts w:cs="Times New Roman"/>
                <w:kern w:val="2"/>
                <w:lang w:val="zh-CN"/>
              </w:rPr>
            </w:pPr>
            <w:r>
              <w:rPr>
                <w:rFonts w:hint="eastAsia" w:cs="Times New Roman"/>
                <w:kern w:val="2"/>
                <w:lang w:val="zh-CN"/>
              </w:rPr>
              <w:t>（3）查询记录和证据留存的具体方式：与比选文件一并保存；</w:t>
            </w:r>
          </w:p>
          <w:p>
            <w:pPr>
              <w:pStyle w:val="39"/>
              <w:spacing w:line="360" w:lineRule="exact"/>
              <w:ind w:left="210" w:leftChars="100"/>
              <w:jc w:val="both"/>
              <w:rPr>
                <w:rFonts w:cs="Times New Roman"/>
                <w:kern w:val="2"/>
              </w:rPr>
            </w:pPr>
            <w:r>
              <w:rPr>
                <w:rFonts w:hint="eastAsia" w:cs="Times New Roman"/>
                <w:kern w:val="2"/>
                <w:lang w:val="zh-CN"/>
              </w:rPr>
              <w:t>（4）使用规则：对列入失信被执行人、重大税收违法案件当事人名单、政府采购严重违法失信行为记录名单的供应商，拒绝其参与政府采购活动</w:t>
            </w:r>
            <w:r>
              <w:rPr>
                <w:rFonts w:hint="eastAsia" w:cs="Times New Roman"/>
                <w:kern w:val="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合同分包</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联合体</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39"/>
              <w:spacing w:line="360" w:lineRule="auto"/>
              <w:ind w:left="210" w:leftChars="100"/>
              <w:jc w:val="both"/>
              <w:rPr>
                <w:rFonts w:cs="Times New Roman"/>
                <w:kern w:val="2"/>
                <w:lang w:val="zh-CN"/>
              </w:rPr>
            </w:pPr>
            <w:r>
              <w:rPr>
                <w:rFonts w:hint="eastAsia" w:cs="Times New Roman"/>
                <w:kern w:val="2"/>
                <w:lang w:val="zh-CN"/>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582216"/>
      <w:bookmarkStart w:id="11" w:name="_Toc183682353"/>
      <w:bookmarkStart w:id="12" w:name="_Toc217446044"/>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7.比选申请文件正本可以采用A4幅面纸胶装方式装订成册并逐页编码。</w:t>
      </w:r>
      <w:r>
        <w:rPr>
          <w:rFonts w:hint="eastAsia" w:ascii="宋体" w:hAnsi="宋体" w:eastAsia="宋体" w:cs="Times New Roman"/>
          <w:b/>
          <w:bCs/>
          <w:sz w:val="24"/>
          <w:szCs w:val="24"/>
        </w:rPr>
        <w:t>（实质性要求）</w:t>
      </w:r>
    </w:p>
    <w:p>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outlineLvl w:val="2"/>
        <w:rPr>
          <w:rFonts w:ascii="宋体" w:hAnsi="宋体" w:eastAsia="宋体" w:cs="Times New Roman"/>
          <w:b/>
          <w:sz w:val="24"/>
          <w:szCs w:val="24"/>
        </w:rPr>
      </w:pPr>
      <w:bookmarkStart w:id="13" w:name="_Toc217446055"/>
      <w:bookmarkStart w:id="14" w:name="_Toc183682365"/>
      <w:bookmarkStart w:id="15" w:name="_Toc183582228"/>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209847069"/>
      <w:bookmarkStart w:id="17" w:name="_Toc101250646"/>
      <w:bookmarkStart w:id="18" w:name="_Toc430773927"/>
      <w:bookmarkStart w:id="19" w:name="_Toc101174151"/>
      <w:bookmarkStart w:id="20" w:name="_Toc101338364"/>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21"/>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（1）可提供2022或2023年度经审计的财务报告复印件（包含审计报告和审计报告中所涉及的财务报表和报表附注）；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（2）也可提供申请人内部的2022或2023年度财务报表复印件（至少包含资产负债表）；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2"/>
        <w:spacing w:before="0" w:after="0" w:line="240" w:lineRule="auto"/>
        <w:jc w:val="center"/>
        <w:rPr>
          <w:rFonts w:ascii="宋体" w:hAnsi="宋体" w:eastAsia="宋体"/>
          <w:bCs w:val="0"/>
          <w:color w:val="000000"/>
          <w:kern w:val="2"/>
          <w:sz w:val="36"/>
          <w:szCs w:val="36"/>
        </w:rPr>
      </w:pPr>
      <w:bookmarkStart w:id="22" w:name="_Toc23416"/>
      <w:bookmarkStart w:id="23" w:name="_Toc13420"/>
      <w:bookmarkStart w:id="24" w:name="_Toc22092"/>
      <w:bookmarkStart w:id="25" w:name="_Toc18798"/>
      <w:r>
        <w:rPr>
          <w:rFonts w:ascii="宋体" w:hAnsi="宋体" w:eastAsia="宋体"/>
          <w:bCs w:val="0"/>
          <w:color w:val="000000"/>
          <w:kern w:val="2"/>
          <w:sz w:val="36"/>
          <w:szCs w:val="36"/>
        </w:rPr>
        <w:t xml:space="preserve">第四章 </w:t>
      </w:r>
      <w:bookmarkEnd w:id="22"/>
      <w:bookmarkEnd w:id="23"/>
      <w:r>
        <w:rPr>
          <w:rFonts w:hint="eastAsia" w:ascii="宋体" w:hAnsi="宋体" w:eastAsia="宋体"/>
          <w:bCs w:val="0"/>
          <w:color w:val="000000"/>
          <w:kern w:val="2"/>
          <w:sz w:val="36"/>
          <w:szCs w:val="36"/>
        </w:rPr>
        <w:t>比选内容及要求</w:t>
      </w:r>
      <w:bookmarkEnd w:id="24"/>
      <w:bookmarkStart w:id="26" w:name="_Toc31717"/>
    </w:p>
    <w:p>
      <w:pPr>
        <w:spacing w:line="360" w:lineRule="auto"/>
        <w:jc w:val="left"/>
        <w:outlineLvl w:val="1"/>
        <w:rPr>
          <w:rFonts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学院内建（构）筑物维修，主要包括室内外瓷砖修补（墙地砖）；室内墙面粉刷；室内吊顶、矿棉板的更换、室外露天铁质设施设备除锈刷漆、室内外玻璃更换、水沟盖更换、栏杆修复、防火门除锈上漆、卫生间更换便盆、安装不锈钢防护栏、地面或墙面防水处理、校园休闲椅维修及上漆、铝合金防盗纱窗、塑钢纱窗、垃圾桶除锈上漆、公寓塑钢门板更换、公寓钢质门更换等零星维修。</w:t>
      </w:r>
    </w:p>
    <w:p>
      <w:pPr>
        <w:pStyle w:val="16"/>
        <w:rPr>
          <w:rFonts w:ascii="宋体" w:hAnsi="宋体" w:eastAsia="宋体" w:cs="Times New Roman"/>
          <w:sz w:val="24"/>
          <w:szCs w:val="24"/>
        </w:rPr>
      </w:pPr>
    </w:p>
    <w:p>
      <w:pPr>
        <w:spacing w:line="360" w:lineRule="auto"/>
        <w:jc w:val="left"/>
        <w:rPr>
          <w:rFonts w:ascii="宋体" w:hAnsi="宋体" w:eastAsia="宋体" w:cs="仿宋"/>
          <w:b/>
          <w:bCs/>
          <w:sz w:val="28"/>
          <w:szCs w:val="24"/>
          <w:lang w:val="zh-CN"/>
        </w:rPr>
      </w:pPr>
      <w:r>
        <w:rPr>
          <w:rFonts w:hint="eastAsia" w:ascii="宋体" w:hAnsi="宋体" w:eastAsia="宋体" w:cs="仿宋"/>
          <w:b/>
          <w:bCs/>
          <w:sz w:val="28"/>
          <w:szCs w:val="24"/>
          <w:lang w:val="zh-CN"/>
        </w:rPr>
        <w:t>二、技术参数要求</w:t>
      </w:r>
    </w:p>
    <w:p>
      <w:pPr>
        <w:spacing w:line="360" w:lineRule="auto"/>
        <w:ind w:left="480"/>
        <w:jc w:val="left"/>
        <w:rPr>
          <w:rFonts w:ascii="宋体" w:hAnsi="宋体" w:eastAsia="宋体" w:cs="仿宋"/>
          <w:b/>
          <w:bCs/>
          <w:sz w:val="28"/>
          <w:szCs w:val="24"/>
          <w:lang w:val="zh-CN"/>
        </w:rPr>
      </w:pPr>
      <w:r>
        <w:rPr>
          <w:rFonts w:hint="eastAsia" w:ascii="宋体" w:hAnsi="宋体" w:eastAsia="宋体" w:cs="仿宋"/>
          <w:b/>
          <w:bCs/>
          <w:sz w:val="28"/>
          <w:szCs w:val="24"/>
          <w:lang w:val="zh-CN"/>
        </w:rPr>
        <w:t>项目清单：</w:t>
      </w:r>
    </w:p>
    <w:tbl>
      <w:tblPr>
        <w:tblStyle w:val="20"/>
        <w:tblW w:w="0" w:type="auto"/>
        <w:jc w:val="center"/>
        <w:tblLayout w:type="fixed"/>
        <w:tblCellMar>
          <w:top w:w="0" w:type="dxa"/>
          <w:left w:w="108" w:type="dxa"/>
          <w:bottom w:w="0" w:type="dxa"/>
          <w:right w:w="108" w:type="dxa"/>
        </w:tblCellMar>
      </w:tblPr>
      <w:tblGrid>
        <w:gridCol w:w="567"/>
        <w:gridCol w:w="2814"/>
        <w:gridCol w:w="2351"/>
        <w:gridCol w:w="1883"/>
        <w:gridCol w:w="623"/>
        <w:gridCol w:w="889"/>
      </w:tblGrid>
      <w:tr>
        <w:tblPrEx>
          <w:tblCellMar>
            <w:top w:w="0" w:type="dxa"/>
            <w:left w:w="108" w:type="dxa"/>
            <w:bottom w:w="0" w:type="dxa"/>
            <w:right w:w="108" w:type="dxa"/>
          </w:tblCellMar>
        </w:tblPrEx>
        <w:trPr>
          <w:trHeight w:val="28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维修项目</w:t>
            </w:r>
          </w:p>
        </w:tc>
        <w:tc>
          <w:tcPr>
            <w:tcW w:w="1883"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规格</w:t>
            </w:r>
          </w:p>
        </w:tc>
        <w:tc>
          <w:tcPr>
            <w:tcW w:w="62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单位</w:t>
            </w:r>
          </w:p>
        </w:tc>
        <w:tc>
          <w:tcPr>
            <w:tcW w:w="889"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单价（元）</w:t>
            </w: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修补室内过道墙砖</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330*250MM</w:t>
            </w: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平方</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修补室内卫生间墙砖</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330*250MM</w:t>
            </w: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平方</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修补室内卫生间地砖</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300*300MM</w:t>
            </w: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平方</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修补室内踢脚线</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120*600MM</w:t>
            </w: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米</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5</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修补室外广场地砖</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100*100MM</w:t>
            </w: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平方</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6</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修补室外墙脚砖</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60*240</w:t>
            </w: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平方</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7</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卫生间吊顶修补更换</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300*300</w:t>
            </w: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平方</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8</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过道和办公室等矿棉板更换</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600*600</w:t>
            </w: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平方</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9</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室外露天铁质设备刷漆除锈</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平方</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10</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楼梯护栏及扶手修复及上漆</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米</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11</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防护栏修复除锈上漆</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平米</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12</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防火门除锈上漆</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平方</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782"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13</w:t>
            </w:r>
          </w:p>
        </w:tc>
        <w:tc>
          <w:tcPr>
            <w:tcW w:w="51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窗玻璃更换</w:t>
            </w:r>
          </w:p>
        </w:tc>
        <w:tc>
          <w:tcPr>
            <w:tcW w:w="1883"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中空普5+6+5(mm)</w:t>
            </w:r>
          </w:p>
        </w:tc>
        <w:tc>
          <w:tcPr>
            <w:tcW w:w="6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平方</w:t>
            </w:r>
          </w:p>
        </w:tc>
        <w:tc>
          <w:tcPr>
            <w:tcW w:w="8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14</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卫生间便盆更换</w:t>
            </w:r>
          </w:p>
        </w:tc>
        <w:tc>
          <w:tcPr>
            <w:tcW w:w="1883" w:type="dxa"/>
            <w:tcBorders>
              <w:top w:val="single" w:color="auto" w:sz="4" w:space="0"/>
              <w:left w:val="nil"/>
              <w:bottom w:val="single" w:color="auto" w:sz="4" w:space="0"/>
              <w:right w:val="single" w:color="auto" w:sz="4" w:space="0"/>
            </w:tcBorders>
            <w:vAlign w:val="center"/>
          </w:tcPr>
          <w:p>
            <w:pPr>
              <w:spacing w:line="360" w:lineRule="auto"/>
              <w:ind w:firstLine="480" w:firstLineChars="200"/>
              <w:jc w:val="center"/>
              <w:rPr>
                <w:rFonts w:ascii="宋体" w:hAnsi="宋体" w:eastAsia="宋体" w:cs="Times New Roman"/>
                <w:sz w:val="24"/>
                <w:szCs w:val="24"/>
              </w:rPr>
            </w:pPr>
          </w:p>
        </w:tc>
        <w:tc>
          <w:tcPr>
            <w:tcW w:w="62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个</w:t>
            </w:r>
          </w:p>
        </w:tc>
        <w:tc>
          <w:tcPr>
            <w:tcW w:w="889"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15</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卫生间面盆更换</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jc w:val="center"/>
              <w:rPr>
                <w:rFonts w:ascii="宋体" w:hAnsi="宋体" w:eastAsia="宋体" w:cs="Times New Roman"/>
                <w:sz w:val="24"/>
                <w:szCs w:val="24"/>
              </w:rPr>
            </w:pP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个</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16</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地面防水处理</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jc w:val="center"/>
              <w:rPr>
                <w:rFonts w:ascii="宋体" w:hAnsi="宋体" w:eastAsia="宋体" w:cs="Times New Roman"/>
                <w:sz w:val="24"/>
                <w:szCs w:val="24"/>
              </w:rPr>
            </w:pP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平方</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17</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墙面防水处理</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jc w:val="center"/>
              <w:rPr>
                <w:rFonts w:ascii="宋体" w:hAnsi="宋体" w:eastAsia="宋体" w:cs="Times New Roman"/>
                <w:sz w:val="24"/>
                <w:szCs w:val="24"/>
              </w:rPr>
            </w:pP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平方</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18</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校园休闲椅维修及上漆</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jc w:val="center"/>
              <w:rPr>
                <w:rFonts w:ascii="宋体" w:hAnsi="宋体" w:eastAsia="宋体" w:cs="Times New Roman"/>
                <w:sz w:val="24"/>
                <w:szCs w:val="24"/>
              </w:rPr>
            </w:pP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张</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19</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水沟盖更换</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jc w:val="center"/>
              <w:rPr>
                <w:rFonts w:ascii="宋体" w:hAnsi="宋体" w:eastAsia="宋体" w:cs="Times New Roman"/>
                <w:sz w:val="24"/>
                <w:szCs w:val="24"/>
              </w:rPr>
            </w:pP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平方</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20</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铝合金防盗纱窗</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jc w:val="center"/>
              <w:rPr>
                <w:rFonts w:ascii="宋体" w:hAnsi="宋体" w:eastAsia="宋体" w:cs="Times New Roman"/>
                <w:sz w:val="24"/>
                <w:szCs w:val="24"/>
              </w:rPr>
            </w:pP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平方</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21</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塑钢纱窗</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jc w:val="center"/>
              <w:rPr>
                <w:rFonts w:ascii="宋体" w:hAnsi="宋体" w:eastAsia="宋体" w:cs="Times New Roman"/>
                <w:sz w:val="24"/>
                <w:szCs w:val="24"/>
              </w:rPr>
            </w:pP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平方</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22</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垃圾桶除锈上漆</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jc w:val="center"/>
              <w:rPr>
                <w:rFonts w:ascii="宋体" w:hAnsi="宋体" w:eastAsia="宋体" w:cs="Times New Roman"/>
                <w:sz w:val="24"/>
                <w:szCs w:val="24"/>
              </w:rPr>
            </w:pP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个</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23</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公寓塑钢门板更换</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jc w:val="center"/>
              <w:rPr>
                <w:rFonts w:ascii="宋体" w:hAnsi="宋体" w:eastAsia="宋体" w:cs="Times New Roman"/>
                <w:sz w:val="24"/>
                <w:szCs w:val="24"/>
              </w:rPr>
            </w:pP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平方</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4"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24</w:t>
            </w:r>
          </w:p>
        </w:tc>
        <w:tc>
          <w:tcPr>
            <w:tcW w:w="5165"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公寓钢质门更换</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jc w:val="center"/>
              <w:rPr>
                <w:rFonts w:ascii="宋体" w:hAnsi="宋体" w:eastAsia="宋体" w:cs="Times New Roman"/>
                <w:sz w:val="24"/>
                <w:szCs w:val="24"/>
              </w:rPr>
            </w:pP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平方</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808"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25</w:t>
            </w:r>
          </w:p>
        </w:tc>
        <w:tc>
          <w:tcPr>
            <w:tcW w:w="2814" w:type="dxa"/>
            <w:tcBorders>
              <w:top w:val="nil"/>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室内墙面粉刷（中档材料、含人工及材料费用）</w:t>
            </w:r>
          </w:p>
        </w:tc>
        <w:tc>
          <w:tcPr>
            <w:tcW w:w="2351" w:type="dxa"/>
            <w:tcBorders>
              <w:top w:val="nil"/>
              <w:left w:val="nil"/>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墙面铲除旧腻子后按照正常工艺粉刷出新</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jc w:val="center"/>
              <w:rPr>
                <w:rFonts w:ascii="宋体" w:hAnsi="宋体" w:eastAsia="宋体" w:cs="Times New Roman"/>
                <w:sz w:val="24"/>
                <w:szCs w:val="24"/>
              </w:rPr>
            </w:pPr>
          </w:p>
        </w:tc>
        <w:tc>
          <w:tcPr>
            <w:tcW w:w="623" w:type="dxa"/>
            <w:tcBorders>
              <w:top w:val="nil"/>
              <w:left w:val="nil"/>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平方</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569"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26</w:t>
            </w:r>
          </w:p>
        </w:tc>
        <w:tc>
          <w:tcPr>
            <w:tcW w:w="5165" w:type="dxa"/>
            <w:gridSpan w:val="2"/>
            <w:tcBorders>
              <w:top w:val="nil"/>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零星点工含税（费）包干单价</w:t>
            </w:r>
          </w:p>
        </w:tc>
        <w:tc>
          <w:tcPr>
            <w:tcW w:w="1883" w:type="dxa"/>
            <w:tcBorders>
              <w:top w:val="nil"/>
              <w:left w:val="nil"/>
              <w:bottom w:val="single" w:color="auto" w:sz="4" w:space="0"/>
              <w:right w:val="single" w:color="auto" w:sz="4" w:space="0"/>
            </w:tcBorders>
            <w:vAlign w:val="center"/>
          </w:tcPr>
          <w:p>
            <w:pPr>
              <w:spacing w:line="360" w:lineRule="auto"/>
              <w:ind w:firstLine="480" w:firstLineChars="200"/>
              <w:jc w:val="center"/>
              <w:rPr>
                <w:rFonts w:ascii="宋体" w:hAnsi="宋体" w:eastAsia="宋体" w:cs="Times New Roman"/>
                <w:sz w:val="24"/>
                <w:szCs w:val="24"/>
              </w:rPr>
            </w:pPr>
          </w:p>
        </w:tc>
        <w:tc>
          <w:tcPr>
            <w:tcW w:w="623" w:type="dxa"/>
            <w:tcBorders>
              <w:top w:val="nil"/>
              <w:left w:val="nil"/>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元/天</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569" w:hRule="atLeast"/>
          <w:jc w:val="center"/>
        </w:trPr>
        <w:tc>
          <w:tcPr>
            <w:tcW w:w="56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27</w:t>
            </w:r>
          </w:p>
        </w:tc>
        <w:tc>
          <w:tcPr>
            <w:tcW w:w="5165" w:type="dxa"/>
            <w:gridSpan w:val="2"/>
            <w:tcBorders>
              <w:top w:val="nil"/>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分项汇总价</w:t>
            </w:r>
          </w:p>
        </w:tc>
        <w:tc>
          <w:tcPr>
            <w:tcW w:w="2506" w:type="dxa"/>
            <w:gridSpan w:val="2"/>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人民币大写：</w:t>
            </w:r>
          </w:p>
        </w:tc>
        <w:tc>
          <w:tcPr>
            <w:tcW w:w="889" w:type="dxa"/>
            <w:tcBorders>
              <w:top w:val="nil"/>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p>
        </w:tc>
      </w:tr>
      <w:tr>
        <w:tblPrEx>
          <w:tblCellMar>
            <w:top w:w="0" w:type="dxa"/>
            <w:left w:w="108" w:type="dxa"/>
            <w:bottom w:w="0" w:type="dxa"/>
            <w:right w:w="108" w:type="dxa"/>
          </w:tblCellMar>
        </w:tblPrEx>
        <w:trPr>
          <w:trHeight w:val="2827" w:hRule="atLeast"/>
          <w:jc w:val="center"/>
        </w:trPr>
        <w:tc>
          <w:tcPr>
            <w:tcW w:w="8853" w:type="dxa"/>
            <w:gridSpan w:val="6"/>
            <w:tcBorders>
              <w:top w:val="single" w:color="auto" w:sz="4" w:space="0"/>
              <w:left w:val="nil"/>
              <w:bottom w:val="nil"/>
              <w:right w:val="nil"/>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备注：1、各类维修项目及墙地砖的材质、颜色、样式以实际维修地点原使用材料为准。地面砖（广场砖、和氏砖、大理石）维修：在保持原有外观图案的基础上进行维修。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2、各类维修项目都包工包料、包含撤除的废旧材料及产生垃圾的清运费用。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3、报价核算方法：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分项汇总价=单价列下数值总和，投标报价=分项汇总价。</w:t>
            </w: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★4、各投标人需针对维修项目清单全部项目进行报价。</w:t>
            </w:r>
          </w:p>
        </w:tc>
      </w:tr>
    </w:tbl>
    <w:p>
      <w:pPr>
        <w:tabs>
          <w:tab w:val="left" w:pos="429"/>
        </w:tabs>
        <w:spacing w:line="360" w:lineRule="auto"/>
        <w:ind w:firstLine="281" w:firstLineChars="100"/>
        <w:rPr>
          <w:rFonts w:ascii="宋体" w:hAnsi="宋体" w:eastAsia="宋体" w:cs="仿宋"/>
          <w:b/>
          <w:bCs/>
          <w:sz w:val="28"/>
          <w:szCs w:val="24"/>
          <w:lang w:val="zh-CN"/>
        </w:rPr>
      </w:pPr>
      <w:r>
        <w:rPr>
          <w:rFonts w:hint="eastAsia" w:ascii="宋体" w:hAnsi="宋体" w:eastAsia="宋体" w:cs="仿宋"/>
          <w:b/>
          <w:bCs/>
          <w:sz w:val="28"/>
          <w:szCs w:val="24"/>
        </w:rPr>
        <w:t>二、服务要求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维修量无论大小、难易，只要甲方安排，乙方在接到甲方维修任务3小时内要到达现场，紧急情况要确保1小时内到场。2天内报出书面维修方案和费用，在方案获得批准后立即开始实施，并在规定的时间内完成维修和验收，逾期则按总价的5%/天标准承担违约金。确保通讯工具24小时开通，在需要时能够执行甲方的加班要求。</w:t>
      </w:r>
      <w:r>
        <w:rPr>
          <w:rFonts w:hint="eastAsia" w:ascii="宋体" w:hAnsi="宋体" w:eastAsia="宋体" w:cs="Times New Roman"/>
          <w:sz w:val="24"/>
          <w:szCs w:val="24"/>
        </w:rPr>
        <w:br w:type="textWrapping"/>
      </w:r>
      <w:r>
        <w:rPr>
          <w:rFonts w:hint="eastAsia" w:ascii="宋体" w:hAnsi="宋体" w:eastAsia="宋体" w:cs="Times New Roman"/>
          <w:sz w:val="24"/>
          <w:szCs w:val="24"/>
        </w:rPr>
        <w:t xml:space="preserve">    2、保证在资质范围内对甲方零星工程进行施工，如自身资质不足（如维修玻璃幕墙、道路等项目），乙方必须在经甲方同意情况下委托具有相应资质的单位、专业队伍、专业人员负责实施，并对此负全责。</w:t>
      </w:r>
      <w:r>
        <w:rPr>
          <w:rFonts w:hint="eastAsia" w:ascii="宋体" w:hAnsi="宋体" w:eastAsia="宋体" w:cs="Times New Roman"/>
          <w:sz w:val="24"/>
          <w:szCs w:val="24"/>
        </w:rPr>
        <w:br w:type="textWrapping"/>
      </w:r>
      <w:r>
        <w:rPr>
          <w:rFonts w:hint="eastAsia" w:ascii="宋体" w:hAnsi="宋体" w:eastAsia="宋体" w:cs="Times New Roman"/>
          <w:sz w:val="24"/>
          <w:szCs w:val="24"/>
        </w:rPr>
        <w:t xml:space="preserve">    3、乙方在施工前，应对施工人员及相关人员进行安全培训及交底，保证施工器具、施工设备、施工材料及施工环境处于安全状态下，在工程实施期间乙方保证按照相关行业规范及安全条例进行操作，并做好防护，对施工过程中出现的给他人或自身造成伤害的一切安全事故负全责，接受甲方的监督。</w:t>
      </w:r>
      <w:r>
        <w:rPr>
          <w:rFonts w:hint="eastAsia" w:ascii="宋体" w:hAnsi="宋体" w:eastAsia="宋体" w:cs="Times New Roman"/>
          <w:sz w:val="24"/>
          <w:szCs w:val="24"/>
        </w:rPr>
        <w:br w:type="textWrapping"/>
      </w:r>
      <w:r>
        <w:rPr>
          <w:rFonts w:hint="eastAsia" w:ascii="宋体" w:hAnsi="宋体" w:eastAsia="宋体" w:cs="Times New Roman"/>
          <w:sz w:val="24"/>
          <w:szCs w:val="24"/>
        </w:rPr>
        <w:t xml:space="preserve">   4、乙方应按照施工方案及现行施工及验收规范进行施工，在每道工序完工后，并在隐蔽前应及时通知甲方管理人员到现场查看验收。</w:t>
      </w:r>
      <w:r>
        <w:rPr>
          <w:rFonts w:hint="eastAsia" w:ascii="宋体" w:hAnsi="宋体" w:eastAsia="宋体" w:cs="Times New Roman"/>
          <w:sz w:val="24"/>
          <w:szCs w:val="24"/>
        </w:rPr>
        <w:br w:type="textWrapping"/>
      </w:r>
      <w:r>
        <w:rPr>
          <w:rFonts w:hint="eastAsia" w:ascii="宋体" w:hAnsi="宋体" w:eastAsia="宋体" w:cs="Times New Roman"/>
          <w:sz w:val="24"/>
          <w:szCs w:val="24"/>
        </w:rPr>
        <w:t xml:space="preserve">   5、维修所需费用（维修报价清单中未涉及的项目），乙方应提出合理价格与甲方协商，如乙方多次出现漫天要价或提出极不合理价格，甲方有权视情节严重程度给予经济处罚，直至解除合同。</w:t>
      </w:r>
      <w:r>
        <w:rPr>
          <w:rFonts w:hint="eastAsia" w:ascii="宋体" w:hAnsi="宋体" w:eastAsia="宋体" w:cs="Times New Roman"/>
          <w:sz w:val="24"/>
          <w:szCs w:val="24"/>
        </w:rPr>
        <w:br w:type="textWrapping"/>
      </w:r>
      <w:r>
        <w:rPr>
          <w:rFonts w:hint="eastAsia" w:ascii="宋体" w:hAnsi="宋体" w:eastAsia="宋体" w:cs="Times New Roman"/>
          <w:sz w:val="24"/>
          <w:szCs w:val="24"/>
        </w:rPr>
        <w:t xml:space="preserve">   6、乙方施工过程中需使用电、水源，应事先与甲方取得联系，不得私拉乱接。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乙方应做到文明施工，遵守规范，服从管理，杜绝野蛮施工，在施工过程中当天产生的垃圾尽量当日清理干净。施工结束后，乙方应对施工现场彻底清理，做到工完、料尽、场地清。清理出的垃圾要堆放在甲方指定的场地内，否则甲方可根据实际情况进行处罚或更换施工单位。</w:t>
      </w:r>
    </w:p>
    <w:p>
      <w:pPr>
        <w:numPr>
          <w:ilvl w:val="0"/>
          <w:numId w:val="5"/>
        </w:numPr>
        <w:spacing w:line="360" w:lineRule="auto"/>
        <w:jc w:val="left"/>
        <w:outlineLvl w:val="1"/>
        <w:rPr>
          <w:rFonts w:ascii="宋体" w:hAnsi="宋体" w:eastAsia="宋体" w:cs="仿宋"/>
          <w:b/>
          <w:bCs/>
          <w:sz w:val="28"/>
          <w:szCs w:val="24"/>
          <w:lang w:val="zh-CN"/>
        </w:rPr>
      </w:pPr>
      <w:r>
        <w:rPr>
          <w:rFonts w:hint="eastAsia" w:ascii="宋体" w:hAnsi="宋体" w:eastAsia="宋体" w:cs="仿宋"/>
          <w:b/>
          <w:bCs/>
          <w:sz w:val="28"/>
          <w:szCs w:val="24"/>
          <w:lang w:val="zh-CN"/>
        </w:rPr>
        <w:t>商务要求（实质性要求）</w:t>
      </w:r>
    </w:p>
    <w:p>
      <w:pPr>
        <w:pStyle w:val="56"/>
        <w:adjustRightInd w:val="0"/>
        <w:snapToGrid w:val="0"/>
        <w:spacing w:line="360" w:lineRule="auto"/>
        <w:rPr>
          <w:rFonts w:ascii="宋体" w:cs="Times New Roman"/>
          <w:bCs w:val="0"/>
          <w:szCs w:val="24"/>
          <w:lang w:val="en-US"/>
        </w:rPr>
      </w:pPr>
      <w:r>
        <w:rPr>
          <w:rFonts w:hint="eastAsia" w:ascii="宋体" w:cs="Times New Roman"/>
          <w:bCs w:val="0"/>
          <w:szCs w:val="24"/>
          <w:lang w:val="en-US"/>
        </w:rPr>
        <w:t>1.工期要求：30个日历日（开工日期以开工报告为准）。如果成交供应商无故拖延工程超过完工日期，逾期每日扣500元的违约金，并且采购人有权无条件解除合同，并要求成交供应商赔偿一切损失。上限为合同金额的10%。</w:t>
      </w:r>
    </w:p>
    <w:p>
      <w:pPr>
        <w:pStyle w:val="56"/>
        <w:adjustRightInd w:val="0"/>
        <w:snapToGrid w:val="0"/>
        <w:spacing w:line="360" w:lineRule="auto"/>
        <w:rPr>
          <w:rFonts w:ascii="宋体" w:cs="Times New Roman"/>
          <w:bCs w:val="0"/>
          <w:szCs w:val="24"/>
          <w:lang w:val="en-US"/>
        </w:rPr>
      </w:pPr>
      <w:r>
        <w:rPr>
          <w:rFonts w:hint="eastAsia" w:ascii="宋体" w:cs="Times New Roman"/>
          <w:bCs w:val="0"/>
          <w:szCs w:val="24"/>
          <w:lang w:val="en-US"/>
        </w:rPr>
        <w:t>2.工程质保期：竣工验收合格后12个月。</w:t>
      </w:r>
    </w:p>
    <w:p>
      <w:pPr>
        <w:pStyle w:val="56"/>
        <w:adjustRightInd w:val="0"/>
        <w:snapToGrid w:val="0"/>
        <w:spacing w:line="360" w:lineRule="auto"/>
        <w:rPr>
          <w:rFonts w:ascii="宋体" w:cs="Times New Roman"/>
          <w:bCs w:val="0"/>
          <w:szCs w:val="24"/>
          <w:lang w:val="en-US"/>
        </w:rPr>
      </w:pPr>
      <w:r>
        <w:rPr>
          <w:rFonts w:hint="eastAsia" w:ascii="宋体" w:cs="Times New Roman"/>
          <w:bCs w:val="0"/>
          <w:szCs w:val="24"/>
          <w:lang w:val="en-US"/>
        </w:rPr>
        <w:t>3.服务要求：按国家法律规定和合同约定进行质保及售后服务。</w:t>
      </w:r>
    </w:p>
    <w:p>
      <w:pPr>
        <w:pStyle w:val="56"/>
        <w:adjustRightInd w:val="0"/>
        <w:snapToGrid w:val="0"/>
        <w:spacing w:line="360" w:lineRule="auto"/>
        <w:rPr>
          <w:rFonts w:ascii="宋体" w:cs="Times New Roman"/>
          <w:bCs w:val="0"/>
          <w:szCs w:val="24"/>
          <w:lang w:val="en-US"/>
        </w:rPr>
      </w:pPr>
      <w:r>
        <w:rPr>
          <w:rFonts w:ascii="宋体" w:cs="Times New Roman"/>
          <w:bCs w:val="0"/>
          <w:szCs w:val="24"/>
          <w:lang w:val="en-US"/>
        </w:rPr>
        <w:t>4</w:t>
      </w:r>
      <w:r>
        <w:rPr>
          <w:rFonts w:hint="eastAsia" w:ascii="宋体" w:cs="Times New Roman"/>
          <w:bCs w:val="0"/>
          <w:szCs w:val="24"/>
          <w:lang w:val="en-US"/>
        </w:rPr>
        <w:t>.付款方式</w:t>
      </w:r>
    </w:p>
    <w:p>
      <w:pPr>
        <w:pStyle w:val="56"/>
        <w:adjustRightInd w:val="0"/>
        <w:snapToGrid w:val="0"/>
        <w:spacing w:line="360" w:lineRule="auto"/>
        <w:rPr>
          <w:rFonts w:ascii="宋体" w:cs="Times New Roman"/>
          <w:bCs w:val="0"/>
          <w:color w:val="FF0000"/>
          <w:szCs w:val="24"/>
          <w:lang w:val="en-US"/>
        </w:rPr>
      </w:pPr>
      <w:r>
        <w:rPr>
          <w:rFonts w:hint="eastAsia" w:ascii="宋体" w:cs="Times New Roman"/>
          <w:bCs w:val="0"/>
          <w:szCs w:val="24"/>
          <w:lang w:val="en-US"/>
        </w:rPr>
        <w:t>（1）固定综合单价，详见投标文件《分项报价明细表》：每项维修完工后按甲方审核标准的维修方案及甲方代表现场签证单确认工作量；维修工程款每半年结算并付款一次。《分项报价明细表》之报价已包含税金、管理费、措施费、人料机等全部费用，除报价外，甲方不另行支付任何费用。</w:t>
      </w:r>
    </w:p>
    <w:p>
      <w:pPr>
        <w:pStyle w:val="56"/>
        <w:adjustRightInd w:val="0"/>
        <w:snapToGrid w:val="0"/>
        <w:spacing w:line="360" w:lineRule="auto"/>
        <w:rPr>
          <w:rFonts w:ascii="宋体" w:cs="Times New Roman"/>
          <w:bCs w:val="0"/>
          <w:color w:val="000000" w:themeColor="text1"/>
          <w:szCs w:val="24"/>
          <w:lang w:val="en-US"/>
          <w14:textFill>
            <w14:solidFill>
              <w14:schemeClr w14:val="tx1"/>
            </w14:solidFill>
          </w14:textFill>
        </w:rPr>
      </w:pPr>
      <w:r>
        <w:rPr>
          <w:rFonts w:hint="eastAsia" w:ascii="宋体" w:cs="Times New Roman"/>
          <w:bCs w:val="0"/>
          <w:color w:val="000000" w:themeColor="text1"/>
          <w:szCs w:val="24"/>
          <w:lang w:val="en-US"/>
          <w14:textFill>
            <w14:solidFill>
              <w14:schemeClr w14:val="tx1"/>
            </w14:solidFill>
          </w14:textFill>
        </w:rPr>
        <w:t>（2）完成维修后</w:t>
      </w:r>
      <w:r>
        <w:rPr>
          <w:rFonts w:ascii="宋体" w:cs="Times New Roman"/>
          <w:bCs w:val="0"/>
          <w:color w:val="000000" w:themeColor="text1"/>
          <w:szCs w:val="24"/>
          <w:lang w:val="en-US"/>
          <w14:textFill>
            <w14:solidFill>
              <w14:schemeClr w14:val="tx1"/>
            </w14:solidFill>
          </w14:textFill>
        </w:rPr>
        <w:t>7</w:t>
      </w:r>
      <w:r>
        <w:rPr>
          <w:rFonts w:hint="eastAsia" w:ascii="宋体" w:cs="Times New Roman"/>
          <w:bCs w:val="0"/>
          <w:color w:val="000000" w:themeColor="text1"/>
          <w:szCs w:val="24"/>
          <w:lang w:val="en-US"/>
          <w14:textFill>
            <w14:solidFill>
              <w14:schemeClr w14:val="tx1"/>
            </w14:solidFill>
          </w14:textFill>
        </w:rPr>
        <w:t>个日历天内由采购人组织人员验收，验收合格后由供应商提供相应的竣工资料及正式发票后7个日历天内，支付零星维修价款。</w:t>
      </w:r>
    </w:p>
    <w:p>
      <w:pPr>
        <w:pStyle w:val="56"/>
        <w:adjustRightInd w:val="0"/>
        <w:snapToGrid w:val="0"/>
        <w:spacing w:line="360" w:lineRule="auto"/>
        <w:rPr>
          <w:rFonts w:ascii="宋体" w:cs="Times New Roman"/>
          <w:bCs w:val="0"/>
          <w:szCs w:val="24"/>
          <w:lang w:val="en-US"/>
        </w:rPr>
      </w:pPr>
      <w:r>
        <w:rPr>
          <w:rFonts w:ascii="宋体" w:cs="Times New Roman"/>
          <w:bCs w:val="0"/>
          <w:szCs w:val="24"/>
          <w:lang w:val="en-US"/>
        </w:rPr>
        <w:t>5</w:t>
      </w:r>
      <w:r>
        <w:rPr>
          <w:rFonts w:hint="eastAsia" w:ascii="宋体" w:cs="Times New Roman"/>
          <w:bCs w:val="0"/>
          <w:szCs w:val="24"/>
          <w:lang w:val="en-US"/>
        </w:rPr>
        <w:t>.报价说明：供应商承担的工程质量未达到合同约定的标准应承担的违约责任：未达质量标准的，供应商进行返工、整改，直至达到标准，造成的经济损失供应商自行承担。两次返工、整改仍不能达到质量验收规范要求标准的，采购人有权拒绝支付该项目费用，且在结算中不予计取。</w:t>
      </w:r>
    </w:p>
    <w:p>
      <w:pPr>
        <w:rPr>
          <w:rFonts w:ascii="宋体" w:hAnsi="宋体" w:eastAsia="宋体" w:cs="Times New Roman"/>
          <w:sz w:val="24"/>
          <w:szCs w:val="24"/>
        </w:rPr>
      </w:pPr>
      <w:r>
        <w:rPr>
          <w:rFonts w:hint="eastAsia" w:ascii="宋体" w:hAnsi="宋体" w:eastAsia="宋体" w:cs="Times New Roman"/>
          <w:sz w:val="24"/>
          <w:szCs w:val="24"/>
        </w:rPr>
        <w:br w:type="page"/>
      </w:r>
    </w:p>
    <w:p>
      <w:pPr>
        <w:pStyle w:val="2"/>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本次比选采用综合评分法。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对各申请文件进行详细评审打分，满分为 100 分。各申请人所有评价指标得分之和为该申请人的综合得分。详细评分标准如下表： </w:t>
      </w:r>
    </w:p>
    <w:tbl>
      <w:tblPr>
        <w:tblStyle w:val="20"/>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0"/>
        <w:gridCol w:w="1034"/>
        <w:gridCol w:w="1132"/>
        <w:gridCol w:w="5108"/>
        <w:gridCol w:w="10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 w:hRule="atLeast"/>
          <w:jc w:val="center"/>
        </w:trPr>
        <w:tc>
          <w:tcPr>
            <w:tcW w:w="440" w:type="dxa"/>
          </w:tcPr>
          <w:p>
            <w:pPr>
              <w:pStyle w:val="50"/>
              <w:ind w:left="164"/>
              <w:rPr>
                <w:rFonts w:hint="default" w:ascii="宋体" w:hAnsi="宋体" w:eastAsia="宋体" w:cs="Times New Roman"/>
                <w:color w:val="auto"/>
                <w:sz w:val="24"/>
                <w:szCs w:val="24"/>
              </w:rPr>
            </w:pPr>
            <w:r>
              <w:rPr>
                <w:rFonts w:ascii="宋体" w:hAnsi="宋体" w:eastAsia="宋体" w:cs="Times New Roman"/>
                <w:color w:val="auto"/>
                <w:sz w:val="24"/>
                <w:szCs w:val="24"/>
              </w:rPr>
              <w:t>序号</w:t>
            </w:r>
          </w:p>
        </w:tc>
        <w:tc>
          <w:tcPr>
            <w:tcW w:w="1034" w:type="dxa"/>
          </w:tcPr>
          <w:p>
            <w:pPr>
              <w:pStyle w:val="50"/>
              <w:jc w:val="center"/>
              <w:rPr>
                <w:rFonts w:hint="default" w:ascii="宋体" w:hAnsi="宋体" w:eastAsia="宋体" w:cs="Times New Roman"/>
                <w:color w:val="auto"/>
                <w:sz w:val="24"/>
                <w:szCs w:val="24"/>
              </w:rPr>
            </w:pPr>
            <w:r>
              <w:rPr>
                <w:rFonts w:ascii="宋体" w:hAnsi="宋体" w:eastAsia="宋体" w:cs="Times New Roman"/>
                <w:color w:val="auto"/>
                <w:sz w:val="24"/>
                <w:szCs w:val="24"/>
              </w:rPr>
              <w:t>评分因素</w:t>
            </w:r>
          </w:p>
          <w:p>
            <w:pPr>
              <w:pStyle w:val="50"/>
              <w:jc w:val="center"/>
              <w:rPr>
                <w:rFonts w:hint="default" w:ascii="宋体" w:hAnsi="宋体" w:eastAsia="宋体" w:cs="Times New Roman"/>
                <w:color w:val="auto"/>
                <w:sz w:val="24"/>
                <w:szCs w:val="24"/>
              </w:rPr>
            </w:pPr>
            <w:r>
              <w:rPr>
                <w:rFonts w:ascii="宋体" w:hAnsi="宋体" w:eastAsia="宋体" w:cs="Times New Roman"/>
                <w:color w:val="auto"/>
                <w:sz w:val="24"/>
                <w:szCs w:val="24"/>
              </w:rPr>
              <w:t>及权重</w:t>
            </w:r>
          </w:p>
        </w:tc>
        <w:tc>
          <w:tcPr>
            <w:tcW w:w="1132" w:type="dxa"/>
          </w:tcPr>
          <w:p>
            <w:pPr>
              <w:pStyle w:val="50"/>
              <w:ind w:left="106"/>
              <w:jc w:val="center"/>
              <w:rPr>
                <w:rFonts w:hint="default" w:ascii="宋体" w:hAnsi="宋体" w:eastAsia="宋体" w:cs="Times New Roman"/>
                <w:color w:val="auto"/>
                <w:sz w:val="24"/>
                <w:szCs w:val="24"/>
              </w:rPr>
            </w:pPr>
            <w:r>
              <w:rPr>
                <w:rFonts w:ascii="宋体" w:hAnsi="宋体" w:eastAsia="宋体" w:cs="Times New Roman"/>
                <w:color w:val="auto"/>
                <w:sz w:val="24"/>
                <w:szCs w:val="24"/>
              </w:rPr>
              <w:t>分值</w:t>
            </w:r>
          </w:p>
        </w:tc>
        <w:tc>
          <w:tcPr>
            <w:tcW w:w="5108" w:type="dxa"/>
          </w:tcPr>
          <w:p>
            <w:pPr>
              <w:pStyle w:val="50"/>
              <w:ind w:right="2565"/>
              <w:jc w:val="center"/>
              <w:rPr>
                <w:rFonts w:hint="default" w:ascii="宋体" w:hAnsi="宋体" w:eastAsia="宋体" w:cs="Times New Roman"/>
                <w:color w:val="auto"/>
                <w:sz w:val="24"/>
                <w:szCs w:val="24"/>
              </w:rPr>
            </w:pPr>
            <w:r>
              <w:rPr>
                <w:rFonts w:ascii="宋体" w:hAnsi="宋体" w:eastAsia="宋体" w:cs="Times New Roman"/>
                <w:color w:val="auto"/>
                <w:sz w:val="24"/>
                <w:szCs w:val="24"/>
              </w:rPr>
              <w:t xml:space="preserve">         评分标准</w:t>
            </w:r>
          </w:p>
        </w:tc>
        <w:tc>
          <w:tcPr>
            <w:tcW w:w="1006" w:type="dxa"/>
          </w:tcPr>
          <w:p>
            <w:pPr>
              <w:pStyle w:val="50"/>
              <w:rPr>
                <w:rFonts w:hint="default" w:ascii="宋体" w:hAnsi="宋体" w:eastAsia="宋体" w:cs="Times New Roman"/>
                <w:color w:val="auto"/>
                <w:sz w:val="24"/>
                <w:szCs w:val="24"/>
              </w:rPr>
            </w:pPr>
            <w:r>
              <w:rPr>
                <w:rFonts w:ascii="宋体" w:hAnsi="宋体" w:eastAsia="宋体" w:cs="Times New Roman"/>
                <w:color w:val="auto"/>
                <w:sz w:val="24"/>
                <w:szCs w:val="24"/>
              </w:rPr>
              <w:t xml:space="preserve">  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jc w:val="center"/>
        </w:trPr>
        <w:tc>
          <w:tcPr>
            <w:tcW w:w="440" w:type="dxa"/>
            <w:vAlign w:val="center"/>
          </w:tcPr>
          <w:p>
            <w:pPr>
              <w:pStyle w:val="50"/>
              <w:ind w:left="8"/>
              <w:jc w:val="center"/>
              <w:rPr>
                <w:rFonts w:hint="default" w:ascii="宋体" w:hAnsi="宋体" w:eastAsia="宋体" w:cs="Times New Roman"/>
                <w:color w:val="auto"/>
                <w:sz w:val="24"/>
                <w:szCs w:val="24"/>
              </w:rPr>
            </w:pPr>
            <w:r>
              <w:rPr>
                <w:rFonts w:ascii="宋体" w:hAnsi="宋体" w:eastAsia="宋体" w:cs="Times New Roman"/>
                <w:color w:val="auto"/>
                <w:sz w:val="24"/>
                <w:szCs w:val="24"/>
              </w:rPr>
              <w:t>1</w:t>
            </w:r>
          </w:p>
        </w:tc>
        <w:tc>
          <w:tcPr>
            <w:tcW w:w="1034" w:type="dxa"/>
            <w:vAlign w:val="center"/>
          </w:tcPr>
          <w:p>
            <w:pPr>
              <w:pStyle w:val="50"/>
              <w:jc w:val="center"/>
              <w:rPr>
                <w:rFonts w:hint="default" w:ascii="宋体" w:hAnsi="宋体" w:eastAsia="宋体" w:cs="Times New Roman"/>
                <w:color w:val="auto"/>
                <w:sz w:val="24"/>
                <w:szCs w:val="24"/>
              </w:rPr>
            </w:pPr>
            <w:r>
              <w:rPr>
                <w:rFonts w:ascii="宋体" w:hAnsi="宋体" w:eastAsia="宋体" w:cs="Times New Roman"/>
                <w:color w:val="auto"/>
                <w:sz w:val="24"/>
                <w:szCs w:val="24"/>
              </w:rPr>
              <w:t>报价</w:t>
            </w:r>
          </w:p>
        </w:tc>
        <w:tc>
          <w:tcPr>
            <w:tcW w:w="1132" w:type="dxa"/>
            <w:vAlign w:val="center"/>
          </w:tcPr>
          <w:p>
            <w:pPr>
              <w:pStyle w:val="50"/>
              <w:jc w:val="center"/>
              <w:rPr>
                <w:rFonts w:hint="default" w:ascii="宋体" w:hAnsi="宋体" w:eastAsia="宋体" w:cs="Times New Roman"/>
                <w:color w:val="auto"/>
                <w:sz w:val="24"/>
                <w:szCs w:val="24"/>
              </w:rPr>
            </w:pPr>
            <w:r>
              <w:rPr>
                <w:rFonts w:ascii="宋体" w:hAnsi="宋体" w:eastAsia="宋体" w:cs="Times New Roman"/>
                <w:color w:val="auto"/>
                <w:sz w:val="24"/>
                <w:szCs w:val="24"/>
              </w:rPr>
              <w:t>30分</w:t>
            </w:r>
          </w:p>
        </w:tc>
        <w:tc>
          <w:tcPr>
            <w:tcW w:w="5108" w:type="dxa"/>
          </w:tcPr>
          <w:p>
            <w:pPr>
              <w:pStyle w:val="50"/>
              <w:rPr>
                <w:rFonts w:hint="default" w:ascii="宋体" w:hAnsi="宋体" w:eastAsia="宋体" w:cs="Times New Roman"/>
                <w:color w:val="auto"/>
                <w:sz w:val="24"/>
                <w:szCs w:val="24"/>
              </w:rPr>
            </w:pPr>
            <w:r>
              <w:rPr>
                <w:rFonts w:ascii="宋体" w:hAnsi="宋体" w:eastAsia="宋体" w:cs="Times New Roman"/>
                <w:color w:val="auto"/>
                <w:sz w:val="24"/>
                <w:szCs w:val="24"/>
              </w:rPr>
              <w:t>满足招标文件要求且价格最低的报价为投标基准价，其价格分为满分。其他有效供应商的价格分统一按照下列公式计算：报价得分=(投标基准价／投标报价)×30。</w:t>
            </w:r>
          </w:p>
        </w:tc>
        <w:tc>
          <w:tcPr>
            <w:tcW w:w="1006" w:type="dxa"/>
          </w:tcPr>
          <w:p>
            <w:pPr>
              <w:pStyle w:val="50"/>
              <w:ind w:left="182" w:right="171"/>
              <w:rPr>
                <w:rFonts w:hint="default" w:ascii="宋体" w:hAnsi="宋体"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5" w:hRule="atLeast"/>
          <w:jc w:val="center"/>
        </w:trPr>
        <w:tc>
          <w:tcPr>
            <w:tcW w:w="440" w:type="dxa"/>
            <w:vMerge w:val="restart"/>
            <w:vAlign w:val="center"/>
          </w:tcPr>
          <w:p>
            <w:pPr>
              <w:pStyle w:val="50"/>
              <w:ind w:left="8"/>
              <w:jc w:val="center"/>
              <w:rPr>
                <w:rFonts w:hint="default" w:ascii="宋体" w:hAnsi="宋体" w:eastAsia="宋体" w:cs="Times New Roman"/>
                <w:color w:val="auto"/>
                <w:sz w:val="24"/>
                <w:szCs w:val="24"/>
              </w:rPr>
            </w:pPr>
            <w:r>
              <w:rPr>
                <w:rFonts w:ascii="宋体" w:hAnsi="宋体" w:eastAsia="宋体" w:cs="Times New Roman"/>
                <w:color w:val="auto"/>
                <w:sz w:val="24"/>
                <w:szCs w:val="24"/>
              </w:rPr>
              <w:t>2</w:t>
            </w:r>
          </w:p>
        </w:tc>
        <w:tc>
          <w:tcPr>
            <w:tcW w:w="1034" w:type="dxa"/>
            <w:vMerge w:val="restart"/>
            <w:vAlign w:val="center"/>
          </w:tcPr>
          <w:p>
            <w:pPr>
              <w:pStyle w:val="50"/>
              <w:ind w:left="107"/>
              <w:jc w:val="center"/>
              <w:rPr>
                <w:rFonts w:hint="default" w:ascii="宋体" w:hAnsi="宋体" w:eastAsia="宋体" w:cs="Times New Roman"/>
                <w:color w:val="auto"/>
                <w:sz w:val="24"/>
                <w:szCs w:val="24"/>
              </w:rPr>
            </w:pPr>
            <w:r>
              <w:rPr>
                <w:rFonts w:ascii="宋体" w:hAnsi="宋体" w:eastAsia="宋体" w:cs="Times New Roman"/>
                <w:color w:val="auto"/>
                <w:sz w:val="24"/>
                <w:szCs w:val="24"/>
              </w:rPr>
              <w:t>技术服</w:t>
            </w:r>
          </w:p>
          <w:p>
            <w:pPr>
              <w:pStyle w:val="50"/>
              <w:ind w:left="107"/>
              <w:jc w:val="center"/>
              <w:rPr>
                <w:rFonts w:hint="default" w:ascii="宋体" w:hAnsi="宋体" w:eastAsia="宋体" w:cs="Times New Roman"/>
                <w:color w:val="auto"/>
                <w:sz w:val="24"/>
                <w:szCs w:val="24"/>
              </w:rPr>
            </w:pPr>
            <w:r>
              <w:rPr>
                <w:rFonts w:ascii="宋体" w:hAnsi="宋体" w:eastAsia="宋体" w:cs="Times New Roman"/>
                <w:color w:val="auto"/>
                <w:sz w:val="24"/>
                <w:szCs w:val="24"/>
              </w:rPr>
              <w:t>务方案</w:t>
            </w:r>
          </w:p>
        </w:tc>
        <w:tc>
          <w:tcPr>
            <w:tcW w:w="1132" w:type="dxa"/>
            <w:vMerge w:val="restart"/>
            <w:vAlign w:val="center"/>
          </w:tcPr>
          <w:p>
            <w:pPr>
              <w:pStyle w:val="50"/>
              <w:ind w:left="107" w:firstLine="240" w:firstLineChars="100"/>
              <w:rPr>
                <w:rFonts w:hint="default" w:ascii="宋体" w:hAnsi="宋体" w:eastAsia="宋体" w:cs="Times New Roman"/>
                <w:color w:val="auto"/>
                <w:sz w:val="24"/>
                <w:szCs w:val="24"/>
              </w:rPr>
            </w:pPr>
            <w:r>
              <w:rPr>
                <w:rFonts w:ascii="宋体" w:hAnsi="宋体" w:eastAsia="宋体" w:cs="Times New Roman"/>
                <w:color w:val="auto"/>
                <w:sz w:val="24"/>
                <w:szCs w:val="24"/>
              </w:rPr>
              <w:t>45分</w:t>
            </w:r>
          </w:p>
        </w:tc>
        <w:tc>
          <w:tcPr>
            <w:tcW w:w="5108" w:type="dxa"/>
            <w:vAlign w:val="center"/>
          </w:tcPr>
          <w:p>
            <w:pPr>
              <w:pStyle w:val="50"/>
              <w:rPr>
                <w:rFonts w:hint="default" w:ascii="宋体" w:hAnsi="宋体" w:eastAsia="宋体" w:cs="Times New Roman"/>
                <w:color w:val="auto"/>
                <w:sz w:val="24"/>
                <w:szCs w:val="24"/>
              </w:rPr>
            </w:pPr>
            <w:r>
              <w:rPr>
                <w:rFonts w:ascii="宋体" w:hAnsi="宋体" w:eastAsia="宋体" w:cs="Times New Roman"/>
                <w:color w:val="auto"/>
                <w:sz w:val="24"/>
                <w:szCs w:val="24"/>
              </w:rPr>
              <w:t>根据供应商针对本项目提供的施工方案与技术措施等进行评审：</w:t>
            </w:r>
          </w:p>
          <w:p>
            <w:pPr>
              <w:pStyle w:val="50"/>
              <w:ind w:left="107"/>
              <w:rPr>
                <w:rFonts w:hint="default" w:ascii="宋体" w:hAnsi="宋体" w:eastAsia="宋体" w:cs="Times New Roman"/>
                <w:color w:val="auto"/>
                <w:sz w:val="24"/>
                <w:szCs w:val="24"/>
              </w:rPr>
            </w:pPr>
            <w:r>
              <w:rPr>
                <w:rFonts w:ascii="宋体" w:hAnsi="宋体" w:eastAsia="宋体" w:cs="Times New Roman"/>
                <w:color w:val="auto"/>
                <w:sz w:val="24"/>
                <w:szCs w:val="24"/>
              </w:rPr>
              <w:t>①施工组织方案；</w:t>
            </w:r>
          </w:p>
          <w:p>
            <w:pPr>
              <w:pStyle w:val="50"/>
              <w:ind w:left="107"/>
              <w:rPr>
                <w:rFonts w:hint="default" w:ascii="宋体" w:hAnsi="宋体" w:eastAsia="宋体" w:cs="Times New Roman"/>
                <w:color w:val="auto"/>
                <w:sz w:val="24"/>
                <w:szCs w:val="24"/>
              </w:rPr>
            </w:pPr>
            <w:r>
              <w:rPr>
                <w:rFonts w:ascii="宋体" w:hAnsi="宋体" w:eastAsia="宋体" w:cs="Times New Roman"/>
                <w:color w:val="auto"/>
                <w:sz w:val="24"/>
                <w:szCs w:val="24"/>
              </w:rPr>
              <w:t>②技术保证措施方案；</w:t>
            </w:r>
          </w:p>
          <w:p>
            <w:pPr>
              <w:pStyle w:val="50"/>
              <w:ind w:left="107"/>
              <w:rPr>
                <w:rFonts w:hint="default" w:ascii="宋体" w:hAnsi="宋体" w:eastAsia="宋体" w:cs="Times New Roman"/>
                <w:color w:val="auto"/>
                <w:sz w:val="24"/>
                <w:szCs w:val="24"/>
              </w:rPr>
            </w:pPr>
            <w:r>
              <w:rPr>
                <w:rFonts w:ascii="宋体" w:hAnsi="宋体" w:eastAsia="宋体" w:cs="Times New Roman"/>
                <w:color w:val="auto"/>
                <w:sz w:val="24"/>
                <w:szCs w:val="24"/>
              </w:rPr>
              <w:t>③项目部的协调措施；</w:t>
            </w:r>
          </w:p>
          <w:p>
            <w:pPr>
              <w:pStyle w:val="50"/>
              <w:ind w:left="107"/>
              <w:rPr>
                <w:rFonts w:hint="default" w:ascii="宋体" w:hAnsi="宋体" w:eastAsia="宋体" w:cs="Times New Roman"/>
                <w:color w:val="auto"/>
                <w:sz w:val="24"/>
                <w:szCs w:val="24"/>
              </w:rPr>
            </w:pPr>
            <w:r>
              <w:rPr>
                <w:rFonts w:ascii="宋体" w:hAnsi="宋体" w:eastAsia="宋体" w:cs="Times New Roman"/>
                <w:color w:val="auto"/>
                <w:sz w:val="24"/>
                <w:szCs w:val="24"/>
              </w:rPr>
              <w:t>④施工过程中的重难点分析；</w:t>
            </w:r>
          </w:p>
          <w:p>
            <w:pPr>
              <w:pStyle w:val="50"/>
              <w:ind w:left="107"/>
              <w:rPr>
                <w:rFonts w:hint="default" w:ascii="宋体" w:hAnsi="宋体" w:eastAsia="宋体" w:cs="Times New Roman"/>
                <w:color w:val="auto"/>
                <w:sz w:val="24"/>
                <w:szCs w:val="24"/>
              </w:rPr>
            </w:pPr>
            <w:r>
              <w:rPr>
                <w:rFonts w:ascii="宋体" w:hAnsi="宋体" w:eastAsia="宋体" w:cs="Times New Roman"/>
                <w:color w:val="auto"/>
                <w:sz w:val="24"/>
                <w:szCs w:val="24"/>
              </w:rPr>
              <w:t>⑤人员安排计划；</w:t>
            </w:r>
          </w:p>
          <w:p>
            <w:pPr>
              <w:pStyle w:val="50"/>
              <w:ind w:left="107"/>
              <w:rPr>
                <w:rFonts w:hint="default" w:ascii="宋体" w:hAnsi="宋体" w:eastAsia="宋体" w:cs="Times New Roman"/>
                <w:color w:val="auto"/>
                <w:sz w:val="24"/>
                <w:szCs w:val="24"/>
              </w:rPr>
            </w:pPr>
            <w:r>
              <w:rPr>
                <w:rFonts w:ascii="宋体" w:hAnsi="宋体" w:eastAsia="宋体" w:cs="Times New Roman"/>
                <w:color w:val="auto"/>
                <w:sz w:val="24"/>
                <w:szCs w:val="24"/>
              </w:rPr>
              <w:t>⑥主要机械设备配备。</w:t>
            </w:r>
          </w:p>
          <w:p>
            <w:pPr>
              <w:pStyle w:val="50"/>
              <w:rPr>
                <w:rFonts w:hint="default" w:ascii="宋体" w:hAnsi="宋体" w:eastAsia="宋体" w:cs="Times New Roman"/>
                <w:color w:val="auto"/>
                <w:sz w:val="24"/>
                <w:szCs w:val="24"/>
              </w:rPr>
            </w:pPr>
            <w:r>
              <w:rPr>
                <w:rFonts w:ascii="宋体" w:hAnsi="宋体" w:eastAsia="宋体" w:cs="Times New Roman"/>
                <w:color w:val="auto"/>
                <w:sz w:val="24"/>
                <w:szCs w:val="24"/>
              </w:rPr>
              <w:t>各项内容为专门针对本项目编制，符合本项目实际情况，能够保障项目顺利实施的得18分；每缺少一项内容或该项内容非专门针对本项目或内容不符合本项目实际情况的，每有一项扣3分，扣完为止。</w:t>
            </w:r>
          </w:p>
        </w:tc>
        <w:tc>
          <w:tcPr>
            <w:tcW w:w="1006" w:type="dxa"/>
          </w:tcPr>
          <w:p>
            <w:pPr>
              <w:pStyle w:val="50"/>
              <w:ind w:left="182" w:right="171"/>
              <w:jc w:val="center"/>
              <w:rPr>
                <w:rFonts w:hint="default" w:ascii="宋体" w:hAnsi="宋体"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2" w:hRule="atLeast"/>
          <w:jc w:val="center"/>
        </w:trPr>
        <w:tc>
          <w:tcPr>
            <w:tcW w:w="440" w:type="dxa"/>
            <w:vMerge w:val="continue"/>
            <w:vAlign w:val="center"/>
          </w:tcPr>
          <w:p>
            <w:pPr>
              <w:pStyle w:val="50"/>
              <w:ind w:left="8"/>
              <w:jc w:val="center"/>
              <w:rPr>
                <w:rFonts w:hint="default" w:ascii="宋体" w:hAnsi="宋体" w:eastAsia="宋体" w:cs="Times New Roman"/>
                <w:color w:val="auto"/>
                <w:sz w:val="24"/>
                <w:szCs w:val="24"/>
              </w:rPr>
            </w:pPr>
          </w:p>
        </w:tc>
        <w:tc>
          <w:tcPr>
            <w:tcW w:w="1034" w:type="dxa"/>
            <w:vMerge w:val="continue"/>
            <w:vAlign w:val="center"/>
          </w:tcPr>
          <w:p>
            <w:pPr>
              <w:pStyle w:val="50"/>
              <w:ind w:left="107"/>
              <w:rPr>
                <w:rFonts w:hint="default" w:ascii="宋体" w:hAnsi="宋体" w:eastAsia="宋体" w:cs="Times New Roman"/>
                <w:color w:val="auto"/>
                <w:sz w:val="24"/>
                <w:szCs w:val="24"/>
              </w:rPr>
            </w:pPr>
          </w:p>
        </w:tc>
        <w:tc>
          <w:tcPr>
            <w:tcW w:w="1132" w:type="dxa"/>
            <w:vMerge w:val="continue"/>
            <w:vAlign w:val="center"/>
          </w:tcPr>
          <w:p>
            <w:pPr>
              <w:pStyle w:val="50"/>
              <w:ind w:left="107"/>
              <w:rPr>
                <w:rFonts w:hint="default" w:ascii="宋体" w:hAnsi="宋体" w:eastAsia="宋体" w:cs="Times New Roman"/>
                <w:color w:val="auto"/>
                <w:sz w:val="24"/>
                <w:szCs w:val="24"/>
              </w:rPr>
            </w:pPr>
          </w:p>
        </w:tc>
        <w:tc>
          <w:tcPr>
            <w:tcW w:w="5108" w:type="dxa"/>
            <w:vAlign w:val="center"/>
          </w:tcPr>
          <w:p>
            <w:pPr>
              <w:pStyle w:val="50"/>
              <w:rPr>
                <w:rFonts w:hint="default" w:ascii="宋体" w:hAnsi="宋体" w:eastAsia="宋体" w:cs="Times New Roman"/>
                <w:color w:val="auto"/>
                <w:sz w:val="24"/>
                <w:szCs w:val="24"/>
              </w:rPr>
            </w:pPr>
            <w:r>
              <w:rPr>
                <w:rFonts w:ascii="宋体" w:hAnsi="宋体" w:eastAsia="宋体" w:cs="Times New Roman"/>
                <w:color w:val="auto"/>
                <w:sz w:val="24"/>
                <w:szCs w:val="24"/>
              </w:rPr>
              <w:t>根据供应商针对本项目提供的质量管理体系与措施等进行评审：</w:t>
            </w:r>
          </w:p>
          <w:p>
            <w:pPr>
              <w:pStyle w:val="50"/>
              <w:ind w:left="107"/>
              <w:rPr>
                <w:rFonts w:hint="default" w:ascii="宋体" w:hAnsi="宋体" w:eastAsia="宋体" w:cs="Times New Roman"/>
                <w:color w:val="auto"/>
                <w:sz w:val="24"/>
                <w:szCs w:val="24"/>
              </w:rPr>
            </w:pPr>
            <w:r>
              <w:rPr>
                <w:rFonts w:ascii="宋体" w:hAnsi="宋体" w:eastAsia="宋体" w:cs="Times New Roman"/>
                <w:color w:val="auto"/>
                <w:sz w:val="24"/>
                <w:szCs w:val="24"/>
              </w:rPr>
              <w:t>①质量管理组织体系；</w:t>
            </w:r>
          </w:p>
          <w:p>
            <w:pPr>
              <w:pStyle w:val="50"/>
              <w:ind w:left="107"/>
              <w:rPr>
                <w:rFonts w:hint="default" w:ascii="宋体" w:hAnsi="宋体" w:eastAsia="宋体" w:cs="Times New Roman"/>
                <w:color w:val="auto"/>
                <w:sz w:val="24"/>
                <w:szCs w:val="24"/>
              </w:rPr>
            </w:pPr>
            <w:r>
              <w:rPr>
                <w:rFonts w:ascii="宋体" w:hAnsi="宋体" w:eastAsia="宋体" w:cs="Times New Roman"/>
                <w:color w:val="auto"/>
                <w:sz w:val="24"/>
                <w:szCs w:val="24"/>
              </w:rPr>
              <w:t>②材料质量检查制度；</w:t>
            </w:r>
          </w:p>
          <w:p>
            <w:pPr>
              <w:pStyle w:val="50"/>
              <w:ind w:left="107"/>
              <w:rPr>
                <w:rFonts w:hint="default" w:ascii="宋体" w:hAnsi="宋体" w:eastAsia="宋体" w:cs="Times New Roman"/>
                <w:color w:val="auto"/>
                <w:sz w:val="24"/>
                <w:szCs w:val="24"/>
              </w:rPr>
            </w:pPr>
            <w:r>
              <w:rPr>
                <w:rFonts w:ascii="宋体" w:hAnsi="宋体" w:eastAsia="宋体" w:cs="Times New Roman"/>
                <w:color w:val="auto"/>
                <w:sz w:val="24"/>
                <w:szCs w:val="24"/>
              </w:rPr>
              <w:t>③施工质量的自查与改进制度。</w:t>
            </w:r>
          </w:p>
          <w:p>
            <w:pPr>
              <w:pStyle w:val="50"/>
              <w:ind w:left="107" w:firstLine="480" w:firstLineChars="200"/>
              <w:rPr>
                <w:rFonts w:hint="default" w:ascii="宋体" w:hAnsi="宋体" w:eastAsia="宋体" w:cs="Times New Roman"/>
                <w:color w:val="auto"/>
                <w:sz w:val="24"/>
                <w:szCs w:val="24"/>
              </w:rPr>
            </w:pPr>
            <w:r>
              <w:rPr>
                <w:rFonts w:ascii="宋体" w:hAnsi="宋体" w:eastAsia="宋体" w:cs="Times New Roman"/>
                <w:color w:val="auto"/>
                <w:sz w:val="24"/>
                <w:szCs w:val="24"/>
              </w:rPr>
              <w:t>各项内容为专门针对本项目编制，符合本项目实际情况，能够保障项目顺利实施的得9分；每缺少一项内容或该项内容非专门针对本项目或内容不符合本项目实际情况的，每有一项扣3分，扣完为止。</w:t>
            </w:r>
          </w:p>
        </w:tc>
        <w:tc>
          <w:tcPr>
            <w:tcW w:w="1006" w:type="dxa"/>
          </w:tcPr>
          <w:p>
            <w:pPr>
              <w:pStyle w:val="50"/>
              <w:ind w:left="182" w:right="171"/>
              <w:jc w:val="center"/>
              <w:rPr>
                <w:rFonts w:hint="default" w:ascii="宋体" w:hAnsi="宋体"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jc w:val="center"/>
        </w:trPr>
        <w:tc>
          <w:tcPr>
            <w:tcW w:w="440" w:type="dxa"/>
            <w:vMerge w:val="continue"/>
            <w:vAlign w:val="center"/>
          </w:tcPr>
          <w:p>
            <w:pPr>
              <w:pStyle w:val="50"/>
              <w:ind w:left="8"/>
              <w:jc w:val="center"/>
              <w:rPr>
                <w:rFonts w:hint="default" w:ascii="宋体" w:hAnsi="宋体" w:eastAsia="宋体" w:cs="Times New Roman"/>
                <w:color w:val="auto"/>
                <w:sz w:val="24"/>
                <w:szCs w:val="24"/>
              </w:rPr>
            </w:pPr>
          </w:p>
        </w:tc>
        <w:tc>
          <w:tcPr>
            <w:tcW w:w="1034" w:type="dxa"/>
            <w:vMerge w:val="continue"/>
            <w:vAlign w:val="center"/>
          </w:tcPr>
          <w:p>
            <w:pPr>
              <w:pStyle w:val="50"/>
              <w:ind w:left="107"/>
              <w:rPr>
                <w:rFonts w:hint="default" w:ascii="宋体" w:hAnsi="宋体" w:eastAsia="宋体" w:cs="Times New Roman"/>
                <w:color w:val="auto"/>
                <w:sz w:val="24"/>
                <w:szCs w:val="24"/>
              </w:rPr>
            </w:pPr>
          </w:p>
        </w:tc>
        <w:tc>
          <w:tcPr>
            <w:tcW w:w="1132" w:type="dxa"/>
            <w:vMerge w:val="continue"/>
            <w:vAlign w:val="center"/>
          </w:tcPr>
          <w:p>
            <w:pPr>
              <w:pStyle w:val="50"/>
              <w:ind w:left="107"/>
              <w:rPr>
                <w:rFonts w:hint="default" w:ascii="宋体" w:hAnsi="宋体" w:eastAsia="宋体" w:cs="Times New Roman"/>
                <w:color w:val="auto"/>
                <w:sz w:val="24"/>
                <w:szCs w:val="24"/>
              </w:rPr>
            </w:pPr>
          </w:p>
        </w:tc>
        <w:tc>
          <w:tcPr>
            <w:tcW w:w="5108" w:type="dxa"/>
            <w:vAlign w:val="center"/>
          </w:tcPr>
          <w:p>
            <w:pPr>
              <w:pStyle w:val="50"/>
              <w:rPr>
                <w:rFonts w:hint="default" w:ascii="宋体" w:hAnsi="宋体" w:eastAsia="宋体" w:cs="Times New Roman"/>
                <w:color w:val="auto"/>
                <w:sz w:val="24"/>
                <w:szCs w:val="24"/>
              </w:rPr>
            </w:pPr>
            <w:r>
              <w:rPr>
                <w:rFonts w:ascii="宋体" w:hAnsi="宋体" w:eastAsia="宋体" w:cs="Times New Roman"/>
                <w:color w:val="auto"/>
                <w:sz w:val="24"/>
                <w:szCs w:val="24"/>
              </w:rPr>
              <w:t>根据供应商针对本项目提供的安全文明施工管理体系与措施等进行评审：</w:t>
            </w:r>
          </w:p>
          <w:p>
            <w:pPr>
              <w:pStyle w:val="50"/>
              <w:ind w:left="107"/>
              <w:rPr>
                <w:rFonts w:hint="default" w:ascii="宋体" w:hAnsi="宋体" w:eastAsia="宋体" w:cs="Times New Roman"/>
                <w:color w:val="auto"/>
                <w:sz w:val="24"/>
                <w:szCs w:val="24"/>
              </w:rPr>
            </w:pPr>
            <w:r>
              <w:rPr>
                <w:rFonts w:ascii="宋体" w:hAnsi="宋体" w:eastAsia="宋体" w:cs="Times New Roman"/>
                <w:color w:val="auto"/>
                <w:sz w:val="24"/>
                <w:szCs w:val="24"/>
              </w:rPr>
              <w:t>①安全保证体系；</w:t>
            </w:r>
          </w:p>
          <w:p>
            <w:pPr>
              <w:pStyle w:val="50"/>
              <w:ind w:left="107"/>
              <w:rPr>
                <w:rFonts w:hint="default" w:ascii="宋体" w:hAnsi="宋体" w:eastAsia="宋体" w:cs="Times New Roman"/>
                <w:color w:val="auto"/>
                <w:sz w:val="24"/>
                <w:szCs w:val="24"/>
              </w:rPr>
            </w:pPr>
            <w:r>
              <w:rPr>
                <w:rFonts w:ascii="宋体" w:hAnsi="宋体" w:eastAsia="宋体" w:cs="Times New Roman"/>
                <w:color w:val="auto"/>
                <w:sz w:val="24"/>
                <w:szCs w:val="24"/>
              </w:rPr>
              <w:t>②安全责任体系；</w:t>
            </w:r>
          </w:p>
          <w:p>
            <w:pPr>
              <w:pStyle w:val="50"/>
              <w:ind w:left="107"/>
              <w:rPr>
                <w:rFonts w:hint="default" w:ascii="宋体" w:hAnsi="宋体" w:eastAsia="宋体" w:cs="Times New Roman"/>
                <w:color w:val="auto"/>
                <w:sz w:val="24"/>
                <w:szCs w:val="24"/>
              </w:rPr>
            </w:pPr>
            <w:r>
              <w:rPr>
                <w:rFonts w:ascii="宋体" w:hAnsi="宋体" w:eastAsia="宋体" w:cs="Times New Roman"/>
                <w:color w:val="auto"/>
                <w:sz w:val="24"/>
                <w:szCs w:val="24"/>
              </w:rPr>
              <w:t>③安全管理制度；</w:t>
            </w:r>
          </w:p>
          <w:p>
            <w:pPr>
              <w:pStyle w:val="50"/>
              <w:ind w:left="107"/>
              <w:rPr>
                <w:rFonts w:hint="default" w:ascii="宋体" w:hAnsi="宋体" w:eastAsia="宋体" w:cs="Times New Roman"/>
                <w:color w:val="auto"/>
                <w:sz w:val="24"/>
                <w:szCs w:val="24"/>
              </w:rPr>
            </w:pPr>
            <w:r>
              <w:rPr>
                <w:rFonts w:ascii="宋体" w:hAnsi="宋体" w:eastAsia="宋体" w:cs="Times New Roman"/>
                <w:color w:val="auto"/>
                <w:sz w:val="24"/>
                <w:szCs w:val="24"/>
              </w:rPr>
              <w:t>④文明施工组织措施；</w:t>
            </w:r>
          </w:p>
          <w:p>
            <w:pPr>
              <w:pStyle w:val="50"/>
              <w:ind w:left="107"/>
              <w:rPr>
                <w:rFonts w:hint="default" w:ascii="宋体" w:hAnsi="宋体" w:eastAsia="宋体" w:cs="Times New Roman"/>
                <w:color w:val="auto"/>
                <w:sz w:val="24"/>
                <w:szCs w:val="24"/>
              </w:rPr>
            </w:pPr>
            <w:r>
              <w:rPr>
                <w:rFonts w:ascii="宋体" w:hAnsi="宋体" w:eastAsia="宋体" w:cs="Times New Roman"/>
                <w:color w:val="auto"/>
                <w:sz w:val="24"/>
                <w:szCs w:val="24"/>
              </w:rPr>
              <w:t>⑤材料临时堆放与保护措施；</w:t>
            </w:r>
          </w:p>
          <w:p>
            <w:pPr>
              <w:pStyle w:val="50"/>
              <w:ind w:left="107"/>
              <w:rPr>
                <w:rFonts w:hint="default" w:ascii="宋体" w:hAnsi="宋体" w:eastAsia="宋体" w:cs="Times New Roman"/>
                <w:color w:val="auto"/>
                <w:sz w:val="24"/>
                <w:szCs w:val="24"/>
              </w:rPr>
            </w:pPr>
            <w:r>
              <w:rPr>
                <w:rFonts w:ascii="宋体" w:hAnsi="宋体" w:eastAsia="宋体" w:cs="Times New Roman"/>
                <w:color w:val="auto"/>
                <w:sz w:val="24"/>
                <w:szCs w:val="24"/>
              </w:rPr>
              <w:t>⑥安全应急救援预案。</w:t>
            </w:r>
          </w:p>
          <w:p>
            <w:pPr>
              <w:pStyle w:val="50"/>
              <w:ind w:left="107" w:firstLine="480" w:firstLineChars="200"/>
              <w:rPr>
                <w:rFonts w:hint="default" w:ascii="宋体" w:hAnsi="宋体" w:eastAsia="宋体" w:cs="Times New Roman"/>
                <w:color w:val="auto"/>
                <w:sz w:val="24"/>
                <w:szCs w:val="24"/>
              </w:rPr>
            </w:pPr>
            <w:r>
              <w:rPr>
                <w:rFonts w:ascii="宋体" w:hAnsi="宋体" w:eastAsia="宋体" w:cs="Times New Roman"/>
                <w:color w:val="auto"/>
                <w:sz w:val="24"/>
                <w:szCs w:val="24"/>
              </w:rPr>
              <w:t>各项内容为专门针对本项目编制，符合本项目实际情况，能够保障项目顺利实施的得6分；每缺少一项内容或该项内容非专门针对本项目或内容不符合本项目实际情况的，每有一项扣1分，扣完为止。</w:t>
            </w:r>
          </w:p>
        </w:tc>
        <w:tc>
          <w:tcPr>
            <w:tcW w:w="1006" w:type="dxa"/>
          </w:tcPr>
          <w:p>
            <w:pPr>
              <w:pStyle w:val="50"/>
              <w:ind w:left="182" w:right="171"/>
              <w:jc w:val="center"/>
              <w:rPr>
                <w:rFonts w:hint="default" w:ascii="宋体" w:hAnsi="宋体"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 w:hRule="atLeast"/>
          <w:jc w:val="center"/>
        </w:trPr>
        <w:tc>
          <w:tcPr>
            <w:tcW w:w="440" w:type="dxa"/>
            <w:vMerge w:val="continue"/>
            <w:vAlign w:val="center"/>
          </w:tcPr>
          <w:p>
            <w:pPr>
              <w:pStyle w:val="50"/>
              <w:ind w:left="8"/>
              <w:jc w:val="center"/>
              <w:rPr>
                <w:rFonts w:hint="default" w:ascii="宋体" w:hAnsi="宋体" w:eastAsia="宋体" w:cs="Times New Roman"/>
                <w:color w:val="auto"/>
                <w:sz w:val="24"/>
                <w:szCs w:val="24"/>
              </w:rPr>
            </w:pPr>
          </w:p>
        </w:tc>
        <w:tc>
          <w:tcPr>
            <w:tcW w:w="1034" w:type="dxa"/>
            <w:vMerge w:val="continue"/>
            <w:vAlign w:val="center"/>
          </w:tcPr>
          <w:p>
            <w:pPr>
              <w:pStyle w:val="50"/>
              <w:ind w:left="107"/>
              <w:rPr>
                <w:rFonts w:hint="default" w:ascii="宋体" w:hAnsi="宋体" w:eastAsia="宋体" w:cs="Times New Roman"/>
                <w:color w:val="auto"/>
                <w:sz w:val="24"/>
                <w:szCs w:val="24"/>
              </w:rPr>
            </w:pPr>
          </w:p>
        </w:tc>
        <w:tc>
          <w:tcPr>
            <w:tcW w:w="1132" w:type="dxa"/>
            <w:vMerge w:val="continue"/>
            <w:vAlign w:val="center"/>
          </w:tcPr>
          <w:p>
            <w:pPr>
              <w:pStyle w:val="50"/>
              <w:ind w:left="107"/>
              <w:rPr>
                <w:rFonts w:hint="default" w:ascii="宋体" w:hAnsi="宋体" w:eastAsia="宋体" w:cs="Times New Roman"/>
                <w:color w:val="auto"/>
                <w:sz w:val="24"/>
                <w:szCs w:val="24"/>
              </w:rPr>
            </w:pPr>
          </w:p>
        </w:tc>
        <w:tc>
          <w:tcPr>
            <w:tcW w:w="5108" w:type="dxa"/>
            <w:vAlign w:val="center"/>
          </w:tcPr>
          <w:p>
            <w:pPr>
              <w:pStyle w:val="50"/>
              <w:rPr>
                <w:rFonts w:hint="default" w:ascii="宋体" w:hAnsi="宋体" w:eastAsia="宋体" w:cs="Times New Roman"/>
                <w:color w:val="auto"/>
                <w:sz w:val="24"/>
                <w:szCs w:val="24"/>
              </w:rPr>
            </w:pPr>
            <w:r>
              <w:rPr>
                <w:rFonts w:ascii="宋体" w:hAnsi="宋体" w:eastAsia="宋体" w:cs="Times New Roman"/>
                <w:color w:val="auto"/>
                <w:sz w:val="24"/>
                <w:szCs w:val="24"/>
              </w:rPr>
              <w:t>根据供应商针对本项目提供的环境保护管理体系与措施等进行评审：</w:t>
            </w:r>
          </w:p>
          <w:p>
            <w:pPr>
              <w:pStyle w:val="50"/>
              <w:ind w:left="107"/>
              <w:rPr>
                <w:rFonts w:hint="default" w:ascii="宋体" w:hAnsi="宋体" w:eastAsia="宋体" w:cs="Times New Roman"/>
                <w:color w:val="auto"/>
                <w:sz w:val="24"/>
                <w:szCs w:val="24"/>
              </w:rPr>
            </w:pPr>
            <w:r>
              <w:rPr>
                <w:rFonts w:ascii="宋体" w:hAnsi="宋体" w:eastAsia="宋体" w:cs="Times New Roman"/>
                <w:color w:val="auto"/>
                <w:sz w:val="24"/>
                <w:szCs w:val="24"/>
              </w:rPr>
              <w:t>①环境保护管理体系；</w:t>
            </w:r>
          </w:p>
          <w:p>
            <w:pPr>
              <w:pStyle w:val="50"/>
              <w:ind w:left="107"/>
              <w:rPr>
                <w:rFonts w:hint="default" w:ascii="宋体" w:hAnsi="宋体" w:eastAsia="宋体" w:cs="Times New Roman"/>
                <w:color w:val="auto"/>
                <w:sz w:val="24"/>
                <w:szCs w:val="24"/>
              </w:rPr>
            </w:pPr>
            <w:r>
              <w:rPr>
                <w:rFonts w:ascii="宋体" w:hAnsi="宋体" w:eastAsia="宋体" w:cs="Times New Roman"/>
                <w:color w:val="auto"/>
                <w:sz w:val="24"/>
                <w:szCs w:val="24"/>
              </w:rPr>
              <w:t>②污染物处理、扬尘处理、噪音控制；</w:t>
            </w:r>
          </w:p>
          <w:p>
            <w:pPr>
              <w:pStyle w:val="50"/>
              <w:ind w:left="107"/>
              <w:rPr>
                <w:rFonts w:hint="default" w:ascii="宋体" w:hAnsi="宋体" w:eastAsia="宋体" w:cs="Times New Roman"/>
                <w:color w:val="auto"/>
                <w:sz w:val="24"/>
                <w:szCs w:val="24"/>
              </w:rPr>
            </w:pPr>
            <w:r>
              <w:rPr>
                <w:rFonts w:ascii="宋体" w:hAnsi="宋体" w:eastAsia="宋体" w:cs="Times New Roman"/>
                <w:color w:val="auto"/>
                <w:sz w:val="24"/>
                <w:szCs w:val="24"/>
              </w:rPr>
              <w:t>③建筑垃圾处理、废弃物处理。</w:t>
            </w:r>
          </w:p>
          <w:p>
            <w:pPr>
              <w:pStyle w:val="50"/>
              <w:ind w:left="107" w:firstLine="480" w:firstLineChars="200"/>
              <w:rPr>
                <w:rFonts w:hint="default" w:ascii="宋体" w:hAnsi="宋体" w:eastAsia="宋体" w:cs="Times New Roman"/>
                <w:color w:val="auto"/>
                <w:sz w:val="24"/>
                <w:szCs w:val="24"/>
              </w:rPr>
            </w:pPr>
            <w:r>
              <w:rPr>
                <w:rFonts w:ascii="宋体" w:hAnsi="宋体" w:eastAsia="宋体" w:cs="Times New Roman"/>
                <w:color w:val="auto"/>
                <w:sz w:val="24"/>
                <w:szCs w:val="24"/>
              </w:rPr>
              <w:t>各项内容为专门针对本项目编制，符合本项目实际情况，能够保障项目顺利实施的得6分；每缺少一项内容或该项内容非专门针对本项目或内容不符合本项目实际情况的，每有一项扣2分，扣完为止。</w:t>
            </w:r>
          </w:p>
        </w:tc>
        <w:tc>
          <w:tcPr>
            <w:tcW w:w="1006" w:type="dxa"/>
          </w:tcPr>
          <w:p>
            <w:pPr>
              <w:pStyle w:val="50"/>
              <w:ind w:left="182" w:right="171"/>
              <w:jc w:val="center"/>
              <w:rPr>
                <w:rFonts w:hint="default" w:ascii="宋体" w:hAnsi="宋体"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8" w:hRule="atLeast"/>
          <w:jc w:val="center"/>
        </w:trPr>
        <w:tc>
          <w:tcPr>
            <w:tcW w:w="440" w:type="dxa"/>
            <w:vMerge w:val="continue"/>
            <w:vAlign w:val="center"/>
          </w:tcPr>
          <w:p>
            <w:pPr>
              <w:pStyle w:val="50"/>
              <w:ind w:left="8"/>
              <w:jc w:val="center"/>
              <w:rPr>
                <w:rFonts w:hint="default" w:ascii="宋体" w:hAnsi="宋体" w:eastAsia="宋体" w:cs="Times New Roman"/>
                <w:color w:val="auto"/>
                <w:sz w:val="24"/>
                <w:szCs w:val="24"/>
              </w:rPr>
            </w:pPr>
          </w:p>
        </w:tc>
        <w:tc>
          <w:tcPr>
            <w:tcW w:w="1034" w:type="dxa"/>
            <w:vMerge w:val="continue"/>
            <w:vAlign w:val="center"/>
          </w:tcPr>
          <w:p>
            <w:pPr>
              <w:pStyle w:val="50"/>
              <w:ind w:left="107"/>
              <w:rPr>
                <w:rFonts w:hint="default" w:ascii="宋体" w:hAnsi="宋体" w:eastAsia="宋体" w:cs="Times New Roman"/>
                <w:color w:val="auto"/>
                <w:sz w:val="24"/>
                <w:szCs w:val="24"/>
              </w:rPr>
            </w:pPr>
          </w:p>
        </w:tc>
        <w:tc>
          <w:tcPr>
            <w:tcW w:w="1132" w:type="dxa"/>
            <w:vMerge w:val="continue"/>
            <w:vAlign w:val="center"/>
          </w:tcPr>
          <w:p>
            <w:pPr>
              <w:pStyle w:val="50"/>
              <w:ind w:left="107"/>
              <w:rPr>
                <w:rFonts w:hint="default" w:ascii="宋体" w:hAnsi="宋体" w:eastAsia="宋体" w:cs="Times New Roman"/>
                <w:color w:val="auto"/>
                <w:sz w:val="24"/>
                <w:szCs w:val="24"/>
              </w:rPr>
            </w:pPr>
          </w:p>
        </w:tc>
        <w:tc>
          <w:tcPr>
            <w:tcW w:w="5108" w:type="dxa"/>
            <w:vAlign w:val="center"/>
          </w:tcPr>
          <w:p>
            <w:pPr>
              <w:pStyle w:val="50"/>
              <w:rPr>
                <w:rFonts w:hint="default" w:ascii="宋体" w:hAnsi="宋体" w:eastAsia="宋体" w:cs="Times New Roman"/>
                <w:color w:val="auto"/>
                <w:sz w:val="24"/>
                <w:szCs w:val="24"/>
              </w:rPr>
            </w:pPr>
            <w:r>
              <w:rPr>
                <w:rFonts w:ascii="宋体" w:hAnsi="宋体" w:eastAsia="宋体" w:cs="Times New Roman"/>
                <w:color w:val="auto"/>
                <w:sz w:val="24"/>
                <w:szCs w:val="24"/>
              </w:rPr>
              <w:t>根据供应商提供的工程进度计划与措施等进行综合评审，包括但不限于：</w:t>
            </w:r>
          </w:p>
          <w:p>
            <w:pPr>
              <w:pStyle w:val="50"/>
              <w:ind w:left="107"/>
              <w:rPr>
                <w:rFonts w:hint="default" w:ascii="宋体" w:hAnsi="宋体" w:eastAsia="宋体" w:cs="Times New Roman"/>
                <w:color w:val="auto"/>
                <w:sz w:val="24"/>
                <w:szCs w:val="24"/>
              </w:rPr>
            </w:pPr>
            <w:r>
              <w:rPr>
                <w:rFonts w:ascii="宋体" w:hAnsi="宋体" w:eastAsia="宋体" w:cs="Times New Roman"/>
                <w:color w:val="auto"/>
                <w:sz w:val="24"/>
                <w:szCs w:val="24"/>
              </w:rPr>
              <w:t>①工程进度计划；</w:t>
            </w:r>
          </w:p>
          <w:p>
            <w:pPr>
              <w:pStyle w:val="50"/>
              <w:ind w:left="107"/>
              <w:rPr>
                <w:rFonts w:hint="default" w:ascii="宋体" w:hAnsi="宋体" w:eastAsia="宋体" w:cs="Times New Roman"/>
                <w:color w:val="auto"/>
                <w:sz w:val="24"/>
                <w:szCs w:val="24"/>
              </w:rPr>
            </w:pPr>
            <w:r>
              <w:rPr>
                <w:rFonts w:ascii="宋体" w:hAnsi="宋体" w:eastAsia="宋体" w:cs="Times New Roman"/>
                <w:color w:val="auto"/>
                <w:sz w:val="24"/>
                <w:szCs w:val="24"/>
              </w:rPr>
              <w:t>②工期保证措施；</w:t>
            </w:r>
          </w:p>
          <w:p>
            <w:pPr>
              <w:pStyle w:val="50"/>
              <w:ind w:left="107"/>
              <w:rPr>
                <w:rFonts w:hint="default" w:ascii="宋体" w:hAnsi="宋体" w:eastAsia="宋体" w:cs="Times New Roman"/>
                <w:color w:val="auto"/>
                <w:sz w:val="24"/>
                <w:szCs w:val="24"/>
              </w:rPr>
            </w:pPr>
            <w:r>
              <w:rPr>
                <w:rFonts w:ascii="宋体" w:hAnsi="宋体" w:eastAsia="宋体" w:cs="Times New Roman"/>
                <w:color w:val="auto"/>
                <w:sz w:val="24"/>
                <w:szCs w:val="24"/>
              </w:rPr>
              <w:t>③施工进度网络图。</w:t>
            </w:r>
          </w:p>
          <w:p>
            <w:pPr>
              <w:pStyle w:val="50"/>
              <w:ind w:left="107" w:firstLine="480" w:firstLineChars="200"/>
              <w:rPr>
                <w:rFonts w:hint="default" w:ascii="宋体" w:hAnsi="宋体" w:eastAsia="宋体" w:cs="Times New Roman"/>
                <w:color w:val="auto"/>
                <w:sz w:val="24"/>
                <w:szCs w:val="24"/>
              </w:rPr>
            </w:pPr>
            <w:r>
              <w:rPr>
                <w:rFonts w:ascii="宋体" w:hAnsi="宋体" w:eastAsia="宋体" w:cs="Times New Roman"/>
                <w:color w:val="auto"/>
                <w:sz w:val="24"/>
                <w:szCs w:val="24"/>
              </w:rPr>
              <w:t>各项内容为专门针对本项目编制，符合本项目实际情况，能够保障项目顺利实施的得6分；每缺少一项内容或该项内容非专门针对本项目或内容不符合本项目实际情况的，每有一项扣2分，扣完为止。</w:t>
            </w:r>
          </w:p>
        </w:tc>
        <w:tc>
          <w:tcPr>
            <w:tcW w:w="1006" w:type="dxa"/>
          </w:tcPr>
          <w:p>
            <w:pPr>
              <w:pStyle w:val="50"/>
              <w:ind w:left="182" w:right="171"/>
              <w:jc w:val="center"/>
              <w:rPr>
                <w:rFonts w:hint="default" w:ascii="宋体" w:hAnsi="宋体"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jc w:val="center"/>
        </w:trPr>
        <w:tc>
          <w:tcPr>
            <w:tcW w:w="440" w:type="dxa"/>
            <w:vAlign w:val="center"/>
          </w:tcPr>
          <w:p>
            <w:pPr>
              <w:spacing w:line="360" w:lineRule="auto"/>
              <w:jc w:val="center"/>
              <w:outlineLvl w:val="1"/>
              <w:rPr>
                <w:rFonts w:ascii="宋体" w:hAnsi="宋体" w:eastAsia="宋体" w:cs="Times New Roman"/>
                <w:sz w:val="24"/>
                <w:szCs w:val="24"/>
              </w:rPr>
            </w:pPr>
            <w:r>
              <w:rPr>
                <w:rFonts w:hint="eastAsia" w:ascii="宋体" w:hAnsi="宋体" w:eastAsia="宋体" w:cs="Times New Roman"/>
                <w:sz w:val="24"/>
                <w:szCs w:val="24"/>
              </w:rPr>
              <w:t>3</w:t>
            </w:r>
          </w:p>
        </w:tc>
        <w:tc>
          <w:tcPr>
            <w:tcW w:w="1034" w:type="dxa"/>
            <w:vAlign w:val="center"/>
          </w:tcPr>
          <w:p>
            <w:pPr>
              <w:spacing w:line="360" w:lineRule="auto"/>
              <w:jc w:val="center"/>
              <w:outlineLvl w:val="1"/>
              <w:rPr>
                <w:rFonts w:ascii="宋体" w:hAnsi="宋体" w:eastAsia="宋体" w:cs="Times New Roman"/>
                <w:sz w:val="24"/>
                <w:szCs w:val="24"/>
              </w:rPr>
            </w:pPr>
            <w:r>
              <w:rPr>
                <w:rFonts w:hint="eastAsia" w:ascii="宋体" w:hAnsi="宋体" w:eastAsia="宋体" w:cs="Times New Roman"/>
                <w:sz w:val="24"/>
                <w:szCs w:val="24"/>
              </w:rPr>
              <w:t>质量</w:t>
            </w:r>
          </w:p>
          <w:p>
            <w:pPr>
              <w:spacing w:line="360" w:lineRule="auto"/>
              <w:jc w:val="center"/>
              <w:outlineLvl w:val="1"/>
              <w:rPr>
                <w:rFonts w:ascii="宋体" w:hAnsi="宋体" w:eastAsia="宋体" w:cs="Times New Roman"/>
                <w:sz w:val="24"/>
                <w:szCs w:val="24"/>
              </w:rPr>
            </w:pPr>
            <w:r>
              <w:rPr>
                <w:rFonts w:hint="eastAsia" w:ascii="宋体" w:hAnsi="宋体" w:eastAsia="宋体" w:cs="Times New Roman"/>
                <w:sz w:val="24"/>
                <w:szCs w:val="24"/>
              </w:rPr>
              <w:t>保障</w:t>
            </w:r>
          </w:p>
          <w:p>
            <w:pPr>
              <w:spacing w:line="360" w:lineRule="auto"/>
              <w:jc w:val="left"/>
              <w:outlineLvl w:val="1"/>
              <w:rPr>
                <w:rFonts w:ascii="宋体" w:hAnsi="宋体" w:eastAsia="宋体" w:cs="Times New Roman"/>
                <w:sz w:val="24"/>
                <w:szCs w:val="24"/>
              </w:rPr>
            </w:pPr>
          </w:p>
        </w:tc>
        <w:tc>
          <w:tcPr>
            <w:tcW w:w="1132" w:type="dxa"/>
            <w:vAlign w:val="center"/>
          </w:tcPr>
          <w:p>
            <w:pPr>
              <w:spacing w:line="360" w:lineRule="auto"/>
              <w:jc w:val="center"/>
              <w:outlineLvl w:val="1"/>
              <w:rPr>
                <w:rFonts w:ascii="宋体" w:hAnsi="宋体" w:eastAsia="宋体" w:cs="Times New Roman"/>
                <w:sz w:val="24"/>
                <w:szCs w:val="24"/>
              </w:rPr>
            </w:pPr>
            <w:r>
              <w:rPr>
                <w:rFonts w:hint="eastAsia" w:ascii="宋体" w:hAnsi="宋体" w:eastAsia="宋体" w:cs="Times New Roman"/>
                <w:sz w:val="24"/>
                <w:szCs w:val="24"/>
              </w:rPr>
              <w:t>6分</w:t>
            </w:r>
          </w:p>
        </w:tc>
        <w:tc>
          <w:tcPr>
            <w:tcW w:w="5108" w:type="dxa"/>
            <w:vAlign w:val="center"/>
          </w:tcPr>
          <w:p>
            <w:pPr>
              <w:spacing w:line="360" w:lineRule="auto"/>
              <w:jc w:val="left"/>
              <w:outlineLvl w:val="1"/>
              <w:rPr>
                <w:rFonts w:ascii="宋体" w:hAnsi="宋体" w:eastAsia="宋体" w:cs="Times New Roman"/>
                <w:sz w:val="24"/>
                <w:szCs w:val="24"/>
              </w:rPr>
            </w:pPr>
            <w:r>
              <w:rPr>
                <w:rFonts w:hint="eastAsia" w:ascii="宋体" w:hAnsi="宋体" w:eastAsia="宋体" w:cs="Times New Roman"/>
                <w:sz w:val="24"/>
                <w:szCs w:val="24"/>
              </w:rPr>
              <w:t>根据供应商提供的施工组织方案中的质量保证措施：</w:t>
            </w:r>
          </w:p>
          <w:p>
            <w:pPr>
              <w:spacing w:line="360" w:lineRule="auto"/>
              <w:ind w:firstLine="480" w:firstLineChars="200"/>
              <w:jc w:val="left"/>
              <w:outlineLvl w:val="1"/>
              <w:rPr>
                <w:rFonts w:ascii="宋体" w:hAnsi="宋体" w:eastAsia="宋体" w:cs="Times New Roman"/>
                <w:sz w:val="24"/>
                <w:szCs w:val="24"/>
              </w:rPr>
            </w:pPr>
            <w:r>
              <w:rPr>
                <w:rFonts w:hint="eastAsia" w:ascii="宋体" w:hAnsi="宋体" w:eastAsia="宋体" w:cs="Times New Roman"/>
                <w:sz w:val="24"/>
                <w:szCs w:val="24"/>
              </w:rPr>
              <w:t>符合国家对工程建设项目相关验收年限要求，后期维护及时迅速（24小时以内完成维修更换的）得3分，每承诺完成维修少于三个小时的加1分，最多加3分。</w:t>
            </w:r>
          </w:p>
        </w:tc>
        <w:tc>
          <w:tcPr>
            <w:tcW w:w="1006" w:type="dxa"/>
          </w:tcPr>
          <w:p>
            <w:pPr>
              <w:spacing w:line="360" w:lineRule="auto"/>
              <w:jc w:val="left"/>
              <w:outlineLvl w:val="1"/>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jc w:val="center"/>
        </w:trPr>
        <w:tc>
          <w:tcPr>
            <w:tcW w:w="440" w:type="dxa"/>
            <w:vAlign w:val="center"/>
          </w:tcPr>
          <w:p>
            <w:pPr>
              <w:pStyle w:val="50"/>
              <w:jc w:val="center"/>
              <w:rPr>
                <w:rFonts w:hint="default" w:ascii="宋体" w:hAnsi="宋体" w:eastAsia="宋体" w:cs="Times New Roman"/>
                <w:color w:val="auto"/>
                <w:sz w:val="24"/>
                <w:szCs w:val="24"/>
              </w:rPr>
            </w:pPr>
          </w:p>
          <w:p>
            <w:pPr>
              <w:pStyle w:val="50"/>
              <w:ind w:left="8"/>
              <w:jc w:val="center"/>
              <w:rPr>
                <w:rFonts w:hint="default" w:ascii="宋体" w:hAnsi="宋体" w:eastAsia="宋体" w:cs="Times New Roman"/>
                <w:color w:val="auto"/>
                <w:sz w:val="24"/>
                <w:szCs w:val="24"/>
              </w:rPr>
            </w:pPr>
            <w:r>
              <w:rPr>
                <w:rFonts w:ascii="宋体" w:hAnsi="宋体" w:eastAsia="宋体" w:cs="Times New Roman"/>
                <w:color w:val="auto"/>
                <w:sz w:val="24"/>
                <w:szCs w:val="24"/>
              </w:rPr>
              <w:t>4</w:t>
            </w:r>
          </w:p>
        </w:tc>
        <w:tc>
          <w:tcPr>
            <w:tcW w:w="1034" w:type="dxa"/>
            <w:vAlign w:val="center"/>
          </w:tcPr>
          <w:p>
            <w:pPr>
              <w:pStyle w:val="50"/>
              <w:ind w:right="212"/>
              <w:jc w:val="center"/>
              <w:rPr>
                <w:rFonts w:hint="default" w:ascii="宋体" w:hAnsi="宋体" w:eastAsia="宋体" w:cs="Times New Roman"/>
                <w:color w:val="auto"/>
                <w:sz w:val="24"/>
                <w:szCs w:val="24"/>
              </w:rPr>
            </w:pPr>
            <w:r>
              <w:rPr>
                <w:rFonts w:ascii="宋体" w:hAnsi="宋体" w:eastAsia="宋体" w:cs="Times New Roman"/>
                <w:color w:val="auto"/>
                <w:sz w:val="24"/>
                <w:szCs w:val="24"/>
              </w:rPr>
              <w:t>类似</w:t>
            </w:r>
          </w:p>
          <w:p>
            <w:pPr>
              <w:pStyle w:val="50"/>
              <w:ind w:right="212"/>
              <w:jc w:val="center"/>
              <w:rPr>
                <w:rFonts w:hint="default" w:ascii="宋体" w:hAnsi="宋体" w:eastAsia="宋体" w:cs="Times New Roman"/>
                <w:color w:val="auto"/>
                <w:sz w:val="24"/>
                <w:szCs w:val="24"/>
              </w:rPr>
            </w:pPr>
            <w:r>
              <w:rPr>
                <w:rFonts w:ascii="宋体" w:hAnsi="宋体" w:eastAsia="宋体" w:cs="Times New Roman"/>
                <w:color w:val="auto"/>
                <w:sz w:val="24"/>
                <w:szCs w:val="24"/>
              </w:rPr>
              <w:t>业绩</w:t>
            </w:r>
          </w:p>
        </w:tc>
        <w:tc>
          <w:tcPr>
            <w:tcW w:w="1132" w:type="dxa"/>
            <w:vAlign w:val="center"/>
          </w:tcPr>
          <w:p>
            <w:pPr>
              <w:pStyle w:val="50"/>
              <w:jc w:val="center"/>
              <w:rPr>
                <w:rFonts w:hint="default" w:ascii="宋体" w:hAnsi="宋体" w:eastAsia="宋体" w:cs="Times New Roman"/>
                <w:color w:val="auto"/>
                <w:sz w:val="24"/>
                <w:szCs w:val="24"/>
              </w:rPr>
            </w:pPr>
            <w:r>
              <w:rPr>
                <w:rFonts w:ascii="宋体" w:hAnsi="宋体" w:eastAsia="宋体" w:cs="Times New Roman"/>
                <w:color w:val="auto"/>
                <w:sz w:val="24"/>
                <w:szCs w:val="24"/>
              </w:rPr>
              <w:t>10分</w:t>
            </w:r>
          </w:p>
        </w:tc>
        <w:tc>
          <w:tcPr>
            <w:tcW w:w="5108" w:type="dxa"/>
          </w:tcPr>
          <w:p>
            <w:pPr>
              <w:pStyle w:val="50"/>
              <w:rPr>
                <w:rFonts w:hint="default" w:ascii="宋体" w:hAnsi="宋体" w:eastAsia="宋体" w:cs="Times New Roman"/>
                <w:color w:val="auto"/>
                <w:sz w:val="24"/>
                <w:szCs w:val="24"/>
              </w:rPr>
            </w:pPr>
            <w:r>
              <w:rPr>
                <w:rFonts w:ascii="宋体" w:hAnsi="宋体" w:eastAsia="宋体" w:cs="Times New Roman"/>
                <w:color w:val="auto"/>
                <w:sz w:val="24"/>
                <w:szCs w:val="24"/>
              </w:rPr>
              <w:t>供应商自2021年1月1日起具有类似项目业绩的，每具有 1 个得 2分，最多得10 分。（提供加盖供应商鲜章的合同复印件予以佐证，不提供或不满足不得分）</w:t>
            </w:r>
          </w:p>
        </w:tc>
        <w:tc>
          <w:tcPr>
            <w:tcW w:w="1006" w:type="dxa"/>
          </w:tcPr>
          <w:p>
            <w:pPr>
              <w:pStyle w:val="50"/>
              <w:ind w:left="182" w:right="171"/>
              <w:rPr>
                <w:rFonts w:hint="default" w:ascii="宋体" w:hAnsi="宋体"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 w:hRule="atLeast"/>
          <w:jc w:val="center"/>
        </w:trPr>
        <w:tc>
          <w:tcPr>
            <w:tcW w:w="440" w:type="dxa"/>
            <w:vAlign w:val="center"/>
          </w:tcPr>
          <w:p>
            <w:pPr>
              <w:pStyle w:val="50"/>
              <w:jc w:val="center"/>
              <w:rPr>
                <w:rFonts w:hint="default" w:ascii="宋体" w:hAnsi="宋体" w:eastAsia="宋体" w:cs="Times New Roman"/>
                <w:color w:val="auto"/>
                <w:sz w:val="24"/>
                <w:szCs w:val="24"/>
              </w:rPr>
            </w:pPr>
          </w:p>
          <w:p>
            <w:pPr>
              <w:pStyle w:val="50"/>
              <w:ind w:left="37"/>
              <w:jc w:val="center"/>
              <w:rPr>
                <w:rFonts w:hint="default" w:ascii="宋体" w:hAnsi="宋体" w:eastAsia="宋体" w:cs="Times New Roman"/>
                <w:color w:val="auto"/>
                <w:sz w:val="24"/>
                <w:szCs w:val="24"/>
              </w:rPr>
            </w:pPr>
            <w:r>
              <w:rPr>
                <w:rFonts w:ascii="宋体" w:hAnsi="宋体" w:eastAsia="宋体" w:cs="Times New Roman"/>
                <w:color w:val="auto"/>
                <w:sz w:val="24"/>
                <w:szCs w:val="24"/>
              </w:rPr>
              <w:t>5</w:t>
            </w:r>
          </w:p>
        </w:tc>
        <w:tc>
          <w:tcPr>
            <w:tcW w:w="1034"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人员</w:t>
            </w:r>
          </w:p>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配置</w:t>
            </w:r>
          </w:p>
          <w:p>
            <w:pPr>
              <w:pStyle w:val="8"/>
              <w:spacing w:after="0"/>
              <w:jc w:val="center"/>
              <w:rPr>
                <w:rFonts w:ascii="宋体" w:hAnsi="宋体" w:eastAsia="宋体" w:cs="Times New Roman"/>
                <w:sz w:val="24"/>
                <w:szCs w:val="24"/>
              </w:rPr>
            </w:pPr>
          </w:p>
        </w:tc>
        <w:tc>
          <w:tcPr>
            <w:tcW w:w="1132"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9分</w:t>
            </w:r>
          </w:p>
        </w:tc>
        <w:tc>
          <w:tcPr>
            <w:tcW w:w="5108" w:type="dxa"/>
            <w:vAlign w:val="center"/>
          </w:tcPr>
          <w:p>
            <w:pPr>
              <w:pStyle w:val="8"/>
              <w:spacing w:after="0"/>
              <w:rPr>
                <w:rFonts w:ascii="宋体" w:hAnsi="宋体" w:eastAsia="宋体" w:cs="Times New Roman"/>
                <w:sz w:val="24"/>
                <w:szCs w:val="24"/>
              </w:rPr>
            </w:pPr>
            <w:r>
              <w:rPr>
                <w:rFonts w:hint="eastAsia" w:ascii="宋体" w:hAnsi="宋体" w:eastAsia="宋体" w:cs="Times New Roman"/>
                <w:sz w:val="24"/>
                <w:szCs w:val="24"/>
              </w:rPr>
              <w:t>项目负责人：具有二级建造师（建筑）的得2分，具有高级及以上职称的得2分；</w:t>
            </w:r>
          </w:p>
          <w:p>
            <w:pPr>
              <w:pStyle w:val="10"/>
              <w:snapToGrid w:val="0"/>
              <w:spacing w:line="360" w:lineRule="auto"/>
              <w:textAlignment w:val="baseline"/>
              <w:rPr>
                <w:rFonts w:ascii="宋体" w:hAnsi="宋体" w:eastAsia="宋体" w:cs="Times New Roman"/>
                <w:sz w:val="24"/>
                <w:szCs w:val="24"/>
              </w:rPr>
            </w:pPr>
            <w:r>
              <w:rPr>
                <w:rFonts w:hint="eastAsia" w:ascii="宋体" w:hAnsi="宋体" w:eastAsia="宋体" w:cs="Times New Roman"/>
                <w:sz w:val="24"/>
                <w:szCs w:val="24"/>
              </w:rPr>
              <w:t>其他人员：施工员、质量员、安全员（同时具备有效的安全生产考核合格C证）、造价员、资料员配备齐全的得5分，缺少一名扣1分，扣完为止。</w:t>
            </w:r>
          </w:p>
          <w:p>
            <w:pPr>
              <w:adjustRightInd w:val="0"/>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注：以上人员不重复计算，</w:t>
            </w:r>
            <w:r>
              <w:rPr>
                <w:rFonts w:hint="eastAsia" w:ascii="宋体" w:hAnsi="宋体" w:eastAsia="宋体" w:cs="Times New Roman"/>
                <w:color w:val="000000" w:themeColor="text1"/>
                <w:sz w:val="24"/>
                <w:szCs w:val="24"/>
                <w14:textFill>
                  <w14:solidFill>
                    <w14:schemeClr w14:val="tx1"/>
                  </w14:solidFill>
                </w14:textFill>
              </w:rPr>
              <w:t>提供与用人单位</w:t>
            </w:r>
            <w:r>
              <w:rPr>
                <w:rFonts w:hint="eastAsia" w:ascii="宋体" w:hAnsi="宋体" w:eastAsia="宋体" w:cs="Times New Roman"/>
                <w:sz w:val="24"/>
                <w:szCs w:val="24"/>
              </w:rPr>
              <w:t>签订的劳动关系证明材料复印件和有效证书复印件并加盖供应商鲜章。</w:t>
            </w:r>
          </w:p>
        </w:tc>
        <w:tc>
          <w:tcPr>
            <w:tcW w:w="1006" w:type="dxa"/>
          </w:tcPr>
          <w:p>
            <w:pPr>
              <w:pStyle w:val="50"/>
              <w:ind w:left="182" w:right="171"/>
              <w:rPr>
                <w:rFonts w:hint="default" w:ascii="宋体" w:hAnsi="宋体" w:eastAsia="宋体" w:cs="Times New Roman"/>
                <w:color w:val="auto"/>
                <w:sz w:val="24"/>
                <w:szCs w:val="24"/>
              </w:rPr>
            </w:pPr>
          </w:p>
        </w:tc>
      </w:tr>
    </w:tbl>
    <w:p>
      <w:pPr>
        <w:spacing w:line="360" w:lineRule="auto"/>
        <w:ind w:firstLine="470" w:firstLineChars="196"/>
        <w:rPr>
          <w:rFonts w:ascii="宋体" w:hAnsi="宋体" w:eastAsia="宋体"/>
          <w:sz w:val="24"/>
          <w:szCs w:val="24"/>
        </w:rPr>
      </w:pPr>
    </w:p>
    <w:p>
      <w:pPr>
        <w:jc w:val="center"/>
        <w:rPr>
          <w:rFonts w:ascii="宋体" w:hAnsi="宋体" w:eastAsia="宋体" w:cs="仿宋"/>
          <w:sz w:val="24"/>
          <w:szCs w:val="24"/>
          <w:lang w:val="zh-TW" w:eastAsia="zh-TW"/>
        </w:rPr>
      </w:pPr>
    </w:p>
    <w:p>
      <w:pPr>
        <w:rPr>
          <w:rFonts w:ascii="宋体" w:hAnsi="宋体" w:eastAsia="宋体"/>
          <w:sz w:val="24"/>
          <w:szCs w:val="24"/>
        </w:rPr>
      </w:pPr>
    </w:p>
    <w:p>
      <w:pPr>
        <w:pStyle w:val="19"/>
        <w:rPr>
          <w:rFonts w:eastAsia="宋体" w:cs="仿宋"/>
          <w:szCs w:val="24"/>
          <w:lang w:eastAsia="zh-TW"/>
        </w:rPr>
      </w:pPr>
    </w:p>
    <w:p>
      <w:pPr>
        <w:pStyle w:val="19"/>
        <w:rPr>
          <w:rFonts w:eastAsia="宋体" w:cs="仿宋"/>
          <w:szCs w:val="24"/>
          <w:lang w:val="zh-TW" w:eastAsia="zh-TW"/>
        </w:rPr>
      </w:pPr>
    </w:p>
    <w:p>
      <w:pPr>
        <w:rPr>
          <w:rFonts w:ascii="宋体" w:hAnsi="宋体" w:eastAsia="宋体"/>
          <w:color w:val="000000"/>
          <w:sz w:val="36"/>
          <w:szCs w:val="36"/>
        </w:rPr>
      </w:pPr>
      <w:r>
        <w:rPr>
          <w:rFonts w:hint="eastAsia" w:ascii="宋体" w:hAnsi="宋体" w:eastAsia="宋体"/>
          <w:color w:val="000000"/>
          <w:sz w:val="36"/>
          <w:szCs w:val="36"/>
        </w:rPr>
        <w:br w:type="page"/>
      </w:r>
    </w:p>
    <w:p>
      <w:pPr>
        <w:pStyle w:val="2"/>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pStyle w:val="16"/>
        <w:jc w:val="center"/>
        <w:rPr>
          <w:rFonts w:ascii="宋体" w:hAnsi="宋体" w:eastAsia="宋体"/>
          <w:b/>
          <w:sz w:val="72"/>
          <w:szCs w:val="72"/>
        </w:rPr>
      </w:pPr>
      <w:r>
        <w:rPr>
          <w:rFonts w:hint="eastAsia" w:ascii="宋体" w:hAnsi="宋体" w:eastAsia="宋体"/>
          <w:b/>
          <w:sz w:val="72"/>
          <w:szCs w:val="72"/>
        </w:rPr>
        <w:t>XXXXX项目</w:t>
      </w:r>
    </w:p>
    <w:p>
      <w:pPr>
        <w:spacing w:line="360" w:lineRule="auto"/>
        <w:ind w:firstLine="1446" w:firstLineChars="200"/>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8"/>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rPr>
          <w:rFonts w:ascii="宋体" w:hAnsi="宋体" w:eastAsia="宋体"/>
          <w:sz w:val="32"/>
        </w:rPr>
      </w:pPr>
      <w:bookmarkStart w:id="28" w:name="_Toc217446082"/>
      <w:r>
        <w:rPr>
          <w:rFonts w:hint="eastAsia" w:ascii="宋体" w:hAnsi="宋体" w:eastAsia="宋体"/>
          <w:sz w:val="32"/>
        </w:rPr>
        <w:br w:type="page"/>
      </w:r>
    </w:p>
    <w:p>
      <w:pPr>
        <w:pStyle w:val="3"/>
        <w:spacing w:line="400" w:lineRule="exact"/>
        <w:ind w:firstLine="3534" w:firstLineChars="1100"/>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pPr>
        <w:pStyle w:val="12"/>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2"/>
        <w:spacing w:line="400" w:lineRule="exact"/>
        <w:ind w:firstLine="0"/>
        <w:rPr>
          <w:rFonts w:ascii="宋体" w:hAnsi="宋体" w:eastAsia="宋体"/>
          <w:bCs/>
          <w:sz w:val="24"/>
          <w:szCs w:val="24"/>
        </w:rPr>
      </w:pPr>
    </w:p>
    <w:p>
      <w:pPr>
        <w:pStyle w:val="12"/>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8"/>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3"/>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5"/>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20"/>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20"/>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spacing w:line="360" w:lineRule="auto"/>
              <w:jc w:val="center"/>
              <w:rPr>
                <w:rFonts w:ascii="宋体" w:hAnsi="宋体" w:eastAsia="宋体" w:cs="仿宋"/>
                <w:sz w:val="21"/>
                <w:szCs w:val="21"/>
              </w:rPr>
            </w:pPr>
          </w:p>
        </w:tc>
        <w:tc>
          <w:tcPr>
            <w:tcW w:w="3180" w:type="dxa"/>
            <w:vAlign w:val="center"/>
          </w:tcPr>
          <w:p>
            <w:pPr>
              <w:pStyle w:val="40"/>
              <w:spacing w:line="360" w:lineRule="auto"/>
              <w:jc w:val="center"/>
              <w:rPr>
                <w:rFonts w:ascii="宋体" w:hAnsi="宋体" w:eastAsia="宋体" w:cs="仿宋"/>
                <w:sz w:val="21"/>
                <w:szCs w:val="21"/>
              </w:rPr>
            </w:pPr>
          </w:p>
        </w:tc>
        <w:tc>
          <w:tcPr>
            <w:tcW w:w="2515" w:type="dxa"/>
            <w:vAlign w:val="center"/>
          </w:tcPr>
          <w:p>
            <w:pPr>
              <w:pStyle w:val="40"/>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20"/>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spacing w:line="360" w:lineRule="auto"/>
              <w:jc w:val="center"/>
              <w:rPr>
                <w:rFonts w:ascii="宋体" w:hAnsi="宋体" w:eastAsia="宋体" w:cs="仿宋"/>
                <w:sz w:val="21"/>
                <w:szCs w:val="21"/>
              </w:rPr>
            </w:pPr>
          </w:p>
        </w:tc>
        <w:tc>
          <w:tcPr>
            <w:tcW w:w="2263" w:type="dxa"/>
            <w:vAlign w:val="center"/>
          </w:tcPr>
          <w:p>
            <w:pPr>
              <w:pStyle w:val="40"/>
              <w:spacing w:line="360" w:lineRule="auto"/>
              <w:jc w:val="center"/>
              <w:rPr>
                <w:rFonts w:ascii="宋体" w:hAnsi="宋体" w:eastAsia="宋体" w:cs="仿宋"/>
                <w:sz w:val="21"/>
                <w:szCs w:val="21"/>
              </w:rPr>
            </w:pPr>
          </w:p>
        </w:tc>
        <w:tc>
          <w:tcPr>
            <w:tcW w:w="2263" w:type="dxa"/>
            <w:vAlign w:val="center"/>
          </w:tcPr>
          <w:p>
            <w:pPr>
              <w:pStyle w:val="40"/>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项目名称</w:t>
            </w:r>
          </w:p>
        </w:tc>
        <w:tc>
          <w:tcPr>
            <w:tcW w:w="6840" w:type="dxa"/>
            <w:vAlign w:val="center"/>
          </w:tcPr>
          <w:p>
            <w:pPr>
              <w:rPr>
                <w:rFonts w:ascii="宋体" w:hAnsi="宋体" w:eastAsia="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投标报价</w:t>
            </w:r>
          </w:p>
        </w:tc>
        <w:tc>
          <w:tcPr>
            <w:tcW w:w="6840" w:type="dxa"/>
            <w:vAlign w:val="center"/>
          </w:tcPr>
          <w:p>
            <w:pPr>
              <w:rPr>
                <w:rFonts w:ascii="宋体" w:hAnsi="宋体" w:eastAsia="宋体" w:cs="仿宋"/>
                <w:sz w:val="24"/>
                <w:szCs w:val="24"/>
              </w:rPr>
            </w:pPr>
            <w:r>
              <w:rPr>
                <w:rFonts w:hint="eastAsia" w:ascii="宋体" w:hAnsi="宋体" w:eastAsia="宋体" w:cs="仿宋"/>
                <w:sz w:val="24"/>
                <w:szCs w:val="24"/>
              </w:rPr>
              <w:t>1.我方自愿按照招标文件规定的各项要求向采购人提供所需服务，投标报价如下: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服务周期</w:t>
            </w:r>
          </w:p>
        </w:tc>
        <w:tc>
          <w:tcPr>
            <w:tcW w:w="6840" w:type="dxa"/>
            <w:vAlign w:val="center"/>
          </w:tcPr>
          <w:p>
            <w:pPr>
              <w:rPr>
                <w:rFonts w:ascii="宋体" w:hAnsi="宋体" w:eastAsia="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备    注</w:t>
            </w:r>
          </w:p>
        </w:tc>
        <w:tc>
          <w:tcPr>
            <w:tcW w:w="6840" w:type="dxa"/>
            <w:vAlign w:val="center"/>
          </w:tcPr>
          <w:p>
            <w:pPr>
              <w:rPr>
                <w:rFonts w:ascii="宋体" w:hAnsi="宋体" w:eastAsia="宋体" w:cs="仿宋"/>
                <w:sz w:val="24"/>
                <w:szCs w:val="24"/>
              </w:rPr>
            </w:pPr>
          </w:p>
        </w:tc>
      </w:tr>
    </w:tbl>
    <w:p>
      <w:pPr>
        <w:rPr>
          <w:rFonts w:ascii="宋体" w:hAnsi="宋体" w:eastAsia="宋体"/>
        </w:rPr>
      </w:pPr>
    </w:p>
    <w:p>
      <w:pPr>
        <w:pStyle w:val="19"/>
        <w:rPr>
          <w:rFonts w:eastAsia="宋体"/>
        </w:rPr>
      </w:pPr>
    </w:p>
    <w:p>
      <w:pPr>
        <w:pStyle w:val="19"/>
        <w:rPr>
          <w:rFonts w:eastAsia="宋体"/>
        </w:rPr>
      </w:pPr>
    </w:p>
    <w:p>
      <w:pPr>
        <w:pStyle w:val="19"/>
        <w:rPr>
          <w:rFonts w:eastAsia="宋体"/>
        </w:rPr>
      </w:pPr>
    </w:p>
    <w:p>
      <w:pPr>
        <w:pStyle w:val="19"/>
        <w:rPr>
          <w:rFonts w:eastAsia="宋体"/>
        </w:rPr>
      </w:pPr>
    </w:p>
    <w:p>
      <w:pPr>
        <w:pStyle w:val="19"/>
        <w:rPr>
          <w:rFonts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8"/>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2"/>
        <w:numPr>
          <w:ilvl w:val="0"/>
          <w:numId w:val="6"/>
        </w:numPr>
        <w:spacing w:before="0" w:after="0" w:line="240" w:lineRule="auto"/>
        <w:jc w:val="center"/>
        <w:rPr>
          <w:rFonts w:ascii="宋体" w:hAnsi="宋体" w:eastAsia="宋体"/>
          <w:color w:val="000000"/>
          <w:sz w:val="36"/>
          <w:szCs w:val="36"/>
        </w:rPr>
      </w:pPr>
      <w:bookmarkStart w:id="31" w:name="_Toc13707"/>
      <w:bookmarkStart w:id="32" w:name="_Toc26179"/>
      <w:bookmarkStart w:id="33" w:name="_Toc31585"/>
      <w:r>
        <w:rPr>
          <w:rFonts w:hint="eastAsia" w:ascii="宋体" w:hAnsi="宋体" w:eastAsia="宋体"/>
          <w:color w:val="000000"/>
          <w:sz w:val="36"/>
          <w:szCs w:val="36"/>
        </w:rPr>
        <w:t>采购合同条款（草案）</w:t>
      </w:r>
      <w:bookmarkEnd w:id="31"/>
      <w:bookmarkEnd w:id="32"/>
      <w:bookmarkEnd w:id="33"/>
    </w:p>
    <w:tbl>
      <w:tblPr>
        <w:tblStyle w:val="20"/>
        <w:tblW w:w="8912" w:type="dxa"/>
        <w:tblInd w:w="-5" w:type="dxa"/>
        <w:tblLayout w:type="fixed"/>
        <w:tblCellMar>
          <w:top w:w="0" w:type="dxa"/>
          <w:left w:w="108" w:type="dxa"/>
          <w:bottom w:w="0" w:type="dxa"/>
          <w:right w:w="108" w:type="dxa"/>
        </w:tblCellMar>
      </w:tblPr>
      <w:tblGrid>
        <w:gridCol w:w="8912"/>
      </w:tblGrid>
      <w:tr>
        <w:tblPrEx>
          <w:tblCellMar>
            <w:top w:w="0" w:type="dxa"/>
            <w:left w:w="108" w:type="dxa"/>
            <w:bottom w:w="0" w:type="dxa"/>
            <w:right w:w="108" w:type="dxa"/>
          </w:tblCellMar>
        </w:tblPrEx>
        <w:trPr>
          <w:trHeight w:val="650" w:hRule="atLeast"/>
        </w:trPr>
        <w:tc>
          <w:tcPr>
            <w:tcW w:w="8912" w:type="dxa"/>
            <w:vAlign w:val="center"/>
          </w:tcPr>
          <w:p>
            <w:pPr>
              <w:pStyle w:val="57"/>
              <w:shd w:val="clear" w:color="auto" w:fill="FFFFFF"/>
              <w:spacing w:before="0" w:beforeAutospacing="0" w:after="0" w:afterAutospacing="0" w:line="360" w:lineRule="auto"/>
              <w:jc w:val="center"/>
              <w:rPr>
                <w:rFonts w:cs="Times New Roman"/>
                <w:b/>
                <w:bCs/>
                <w:color w:val="000000"/>
                <w:sz w:val="28"/>
                <w:szCs w:val="28"/>
              </w:rPr>
            </w:pPr>
            <w:r>
              <w:rPr>
                <w:rFonts w:hint="eastAsia"/>
                <w:b/>
                <w:bCs/>
                <w:color w:val="000000"/>
                <w:sz w:val="28"/>
                <w:szCs w:val="28"/>
              </w:rPr>
              <w:t>2024年度零星工程维修服务合同（草案）</w:t>
            </w:r>
          </w:p>
          <w:p>
            <w:pPr>
              <w:pStyle w:val="57"/>
              <w:shd w:val="clear" w:color="auto" w:fill="FFFFFF"/>
              <w:spacing w:before="0" w:beforeAutospacing="0" w:after="0" w:afterAutospacing="0" w:line="360" w:lineRule="auto"/>
              <w:rPr>
                <w:rFonts w:cs="Times New Roman"/>
                <w:color w:val="000000"/>
                <w:sz w:val="21"/>
                <w:szCs w:val="21"/>
              </w:rPr>
            </w:pPr>
            <w:r>
              <w:rPr>
                <w:rFonts w:hint="eastAsia"/>
                <w:color w:val="000000"/>
                <w:sz w:val="21"/>
                <w:szCs w:val="21"/>
              </w:rPr>
              <w:t>甲方：四川铁道职业学院</w:t>
            </w:r>
          </w:p>
          <w:p>
            <w:pPr>
              <w:pStyle w:val="57"/>
              <w:shd w:val="clear" w:color="auto" w:fill="FFFFFF"/>
              <w:spacing w:before="0" w:beforeAutospacing="0" w:after="0" w:afterAutospacing="0" w:line="360" w:lineRule="auto"/>
              <w:rPr>
                <w:rFonts w:cs="Times New Roman"/>
                <w:color w:val="000000"/>
                <w:sz w:val="21"/>
                <w:szCs w:val="21"/>
              </w:rPr>
            </w:pPr>
            <w:r>
              <w:rPr>
                <w:rFonts w:hint="eastAsia"/>
                <w:color w:val="000000"/>
                <w:sz w:val="21"/>
                <w:szCs w:val="21"/>
              </w:rPr>
              <w:t>乙方：</w:t>
            </w:r>
            <w:r>
              <w:rPr>
                <w:rFonts w:cs="Times New Roman"/>
                <w:color w:val="000000"/>
                <w:sz w:val="21"/>
                <w:szCs w:val="21"/>
              </w:rPr>
              <w:t xml:space="preserve"> </w:t>
            </w:r>
          </w:p>
          <w:p>
            <w:pPr>
              <w:pStyle w:val="57"/>
              <w:shd w:val="clear" w:color="auto" w:fill="FFFFFF"/>
              <w:spacing w:before="0" w:beforeAutospacing="0" w:after="0" w:afterAutospacing="0" w:line="360" w:lineRule="auto"/>
              <w:rPr>
                <w:rFonts w:cs="Times New Roman"/>
                <w:color w:val="000000"/>
                <w:sz w:val="21"/>
                <w:szCs w:val="21"/>
              </w:rPr>
            </w:pPr>
            <w:r>
              <w:rPr>
                <w:rFonts w:cs="Times New Roman"/>
                <w:color w:val="000000"/>
                <w:sz w:val="21"/>
                <w:szCs w:val="21"/>
              </w:rPr>
              <w:t>  </w:t>
            </w:r>
            <w:r>
              <w:rPr>
                <w:rFonts w:hint="eastAsia"/>
                <w:color w:val="000000"/>
                <w:sz w:val="21"/>
                <w:szCs w:val="21"/>
              </w:rPr>
              <w:t>鉴于甲方因校园零星工程维修，组织了维修服务的比选工作，乙方成为了维修工程的中标方。为进一步明确双方责任，保证施工顺利进行，按照《中华人民共和国民法典》、《中华人民共和国建筑法》的有关规定，双方达成一致意见，特签订本合同，双方共同遵守执行。</w:t>
            </w:r>
          </w:p>
          <w:p>
            <w:pPr>
              <w:pStyle w:val="57"/>
              <w:shd w:val="clear" w:color="auto" w:fill="FFFFFF"/>
              <w:spacing w:before="0" w:beforeAutospacing="0" w:after="0" w:afterAutospacing="0" w:line="360" w:lineRule="auto"/>
              <w:ind w:firstLine="422" w:firstLineChars="200"/>
              <w:rPr>
                <w:color w:val="000000"/>
                <w:sz w:val="21"/>
                <w:szCs w:val="21"/>
              </w:rPr>
            </w:pPr>
            <w:r>
              <w:rPr>
                <w:rFonts w:hint="eastAsia"/>
                <w:b/>
                <w:bCs/>
                <w:color w:val="000000"/>
                <w:sz w:val="21"/>
                <w:szCs w:val="21"/>
              </w:rPr>
              <w:t>一、合同名称</w:t>
            </w:r>
            <w:r>
              <w:rPr>
                <w:rFonts w:hint="eastAsia"/>
                <w:color w:val="000000"/>
                <w:sz w:val="21"/>
                <w:szCs w:val="21"/>
              </w:rPr>
              <w:t>：2</w:t>
            </w:r>
            <w:r>
              <w:rPr>
                <w:color w:val="000000"/>
                <w:sz w:val="21"/>
                <w:szCs w:val="21"/>
              </w:rPr>
              <w:t>024</w:t>
            </w:r>
            <w:r>
              <w:rPr>
                <w:rFonts w:hint="eastAsia"/>
                <w:color w:val="000000"/>
                <w:sz w:val="21"/>
                <w:szCs w:val="21"/>
              </w:rPr>
              <w:t>年度零星工程维修服务合同</w:t>
            </w:r>
          </w:p>
          <w:p>
            <w:pPr>
              <w:pStyle w:val="57"/>
              <w:shd w:val="clear" w:color="auto" w:fill="FFFFFF"/>
              <w:spacing w:before="0" w:beforeAutospacing="0" w:after="0" w:afterAutospacing="0" w:line="360" w:lineRule="auto"/>
              <w:ind w:firstLine="422" w:firstLineChars="200"/>
              <w:rPr>
                <w:color w:val="000000"/>
                <w:sz w:val="21"/>
                <w:szCs w:val="21"/>
              </w:rPr>
            </w:pPr>
            <w:r>
              <w:rPr>
                <w:rFonts w:hint="eastAsia"/>
                <w:b/>
                <w:bCs/>
                <w:color w:val="000000"/>
                <w:sz w:val="21"/>
                <w:szCs w:val="21"/>
              </w:rPr>
              <w:t>二、工程地点</w:t>
            </w:r>
            <w:r>
              <w:rPr>
                <w:rFonts w:hint="eastAsia"/>
                <w:color w:val="000000"/>
                <w:sz w:val="21"/>
                <w:szCs w:val="21"/>
              </w:rPr>
              <w:t>：四川铁道职业学院校园内</w:t>
            </w:r>
          </w:p>
          <w:p>
            <w:pPr>
              <w:pStyle w:val="57"/>
              <w:shd w:val="clear" w:color="auto" w:fill="FFFFFF"/>
              <w:spacing w:before="0" w:beforeAutospacing="0" w:after="0" w:afterAutospacing="0" w:line="360" w:lineRule="auto"/>
              <w:ind w:firstLine="422" w:firstLineChars="200"/>
              <w:rPr>
                <w:color w:val="000000"/>
                <w:sz w:val="21"/>
                <w:szCs w:val="21"/>
              </w:rPr>
            </w:pPr>
            <w:r>
              <w:rPr>
                <w:rFonts w:hint="eastAsia"/>
                <w:b/>
                <w:bCs/>
                <w:color w:val="000000"/>
                <w:sz w:val="21"/>
                <w:szCs w:val="21"/>
              </w:rPr>
              <w:t>三、工程造价及支付</w:t>
            </w:r>
            <w:r>
              <w:rPr>
                <w:rFonts w:hint="eastAsia"/>
                <w:color w:val="000000"/>
                <w:sz w:val="21"/>
                <w:szCs w:val="21"/>
              </w:rPr>
              <w:t>：固定综合单价，详见投标文件《分项报价明细表》：每项维修完工后按甲方审核标准的维修方案及甲方代表现场签证单确认工作量；维修工程款每半年结算并付款一次。《分项报价明细表》之报价已包含税金、管理费、措施费、人料机等全部费用，除报价外，甲方不另行支付任何费用。</w:t>
            </w:r>
          </w:p>
          <w:p>
            <w:pPr>
              <w:pStyle w:val="57"/>
              <w:shd w:val="clear" w:color="auto" w:fill="FFFFFF"/>
              <w:spacing w:before="0" w:beforeAutospacing="0" w:after="0" w:afterAutospacing="0" w:line="360" w:lineRule="auto"/>
              <w:ind w:firstLine="422" w:firstLineChars="200"/>
              <w:rPr>
                <w:rFonts w:cs="Times New Roman"/>
                <w:color w:val="000000"/>
                <w:sz w:val="21"/>
                <w:szCs w:val="21"/>
              </w:rPr>
            </w:pPr>
            <w:r>
              <w:rPr>
                <w:rFonts w:hint="eastAsia"/>
                <w:b/>
                <w:bCs/>
                <w:color w:val="000000"/>
                <w:sz w:val="21"/>
                <w:szCs w:val="21"/>
              </w:rPr>
              <w:t>四、承包方式</w:t>
            </w:r>
            <w:r>
              <w:rPr>
                <w:rFonts w:hint="eastAsia"/>
                <w:color w:val="000000"/>
                <w:sz w:val="21"/>
                <w:szCs w:val="21"/>
              </w:rPr>
              <w:t>：乙方包人工、包材料、包工期。</w:t>
            </w:r>
          </w:p>
          <w:p>
            <w:pPr>
              <w:pStyle w:val="57"/>
              <w:shd w:val="clear" w:color="auto" w:fill="FFFFFF"/>
              <w:spacing w:before="0" w:beforeAutospacing="0" w:after="0" w:afterAutospacing="0" w:line="360" w:lineRule="auto"/>
              <w:ind w:firstLine="422" w:firstLineChars="200"/>
              <w:rPr>
                <w:rFonts w:cs="Times New Roman"/>
                <w:color w:val="000000"/>
                <w:sz w:val="21"/>
                <w:szCs w:val="21"/>
              </w:rPr>
            </w:pPr>
            <w:r>
              <w:rPr>
                <w:rFonts w:hint="eastAsia"/>
                <w:b/>
                <w:bCs/>
                <w:color w:val="000000"/>
                <w:sz w:val="21"/>
                <w:szCs w:val="21"/>
              </w:rPr>
              <w:t>五、合同周期</w:t>
            </w:r>
            <w:r>
              <w:rPr>
                <w:rFonts w:hint="eastAsia"/>
                <w:color w:val="000000"/>
                <w:sz w:val="21"/>
                <w:szCs w:val="21"/>
              </w:rPr>
              <w:t>：</w:t>
            </w:r>
            <w:r>
              <w:rPr>
                <w:color w:val="000000"/>
                <w:sz w:val="21"/>
                <w:szCs w:val="21"/>
              </w:rPr>
              <w:t>20</w:t>
            </w:r>
            <w:r>
              <w:rPr>
                <w:rFonts w:hint="eastAsia"/>
                <w:color w:val="000000"/>
                <w:sz w:val="21"/>
                <w:szCs w:val="21"/>
              </w:rPr>
              <w:t>2</w:t>
            </w:r>
            <w:r>
              <w:rPr>
                <w:color w:val="000000"/>
                <w:sz w:val="21"/>
                <w:szCs w:val="21"/>
              </w:rPr>
              <w:t>4</w:t>
            </w: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日至</w:t>
            </w:r>
            <w:r>
              <w:rPr>
                <w:color w:val="000000"/>
                <w:sz w:val="21"/>
                <w:szCs w:val="21"/>
              </w:rPr>
              <w:t>20</w:t>
            </w:r>
            <w:r>
              <w:rPr>
                <w:rFonts w:hint="eastAsia"/>
                <w:color w:val="000000"/>
                <w:sz w:val="21"/>
                <w:szCs w:val="21"/>
              </w:rPr>
              <w:t>2</w:t>
            </w:r>
            <w:r>
              <w:rPr>
                <w:color w:val="000000"/>
                <w:sz w:val="21"/>
                <w:szCs w:val="21"/>
              </w:rPr>
              <w:t>4</w:t>
            </w: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日。各维修项目基本工期以甲方指示为准。</w:t>
            </w:r>
          </w:p>
          <w:p>
            <w:pPr>
              <w:pStyle w:val="57"/>
              <w:shd w:val="clear" w:color="auto" w:fill="FFFFFF"/>
              <w:spacing w:before="0" w:beforeAutospacing="0" w:after="0" w:afterAutospacing="0" w:line="360" w:lineRule="auto"/>
              <w:ind w:firstLine="422" w:firstLineChars="200"/>
              <w:rPr>
                <w:rFonts w:cs="Times New Roman"/>
                <w:color w:val="000000"/>
                <w:sz w:val="21"/>
                <w:szCs w:val="21"/>
              </w:rPr>
            </w:pPr>
            <w:r>
              <w:rPr>
                <w:rFonts w:hint="eastAsia"/>
                <w:b/>
                <w:bCs/>
                <w:color w:val="000000"/>
                <w:sz w:val="21"/>
                <w:szCs w:val="21"/>
              </w:rPr>
              <w:t>六、维修范围</w:t>
            </w:r>
            <w:r>
              <w:rPr>
                <w:rFonts w:hint="eastAsia"/>
                <w:color w:val="000000"/>
                <w:sz w:val="21"/>
                <w:szCs w:val="21"/>
              </w:rPr>
              <w:t>：以甲方指定为准,各类维修结算详见&lt;&lt;分项报价明细表&gt;&gt;。如有分项报价表以外的维修内容由双方先协商定价后再进行维修。</w:t>
            </w:r>
            <w:r>
              <w:rPr>
                <w:rFonts w:cs="Times New Roman"/>
                <w:color w:val="000000"/>
                <w:sz w:val="21"/>
                <w:szCs w:val="21"/>
              </w:rPr>
              <w:t>  </w:t>
            </w:r>
          </w:p>
          <w:p>
            <w:pPr>
              <w:pStyle w:val="57"/>
              <w:shd w:val="clear" w:color="auto" w:fill="FFFFFF"/>
              <w:spacing w:before="0" w:beforeAutospacing="0" w:after="0" w:afterAutospacing="0" w:line="360" w:lineRule="auto"/>
              <w:ind w:firstLine="422" w:firstLineChars="200"/>
              <w:rPr>
                <w:rFonts w:cs="Times New Roman"/>
                <w:b/>
                <w:bCs/>
                <w:color w:val="000000"/>
                <w:sz w:val="21"/>
                <w:szCs w:val="21"/>
              </w:rPr>
            </w:pPr>
            <w:r>
              <w:rPr>
                <w:rFonts w:hint="eastAsia"/>
                <w:b/>
                <w:bCs/>
                <w:color w:val="000000"/>
                <w:sz w:val="21"/>
                <w:szCs w:val="21"/>
              </w:rPr>
              <w:t>七、工程要求</w:t>
            </w:r>
          </w:p>
          <w:p>
            <w:pPr>
              <w:pStyle w:val="57"/>
              <w:shd w:val="clear" w:color="auto" w:fill="FFFFFF"/>
              <w:spacing w:before="0" w:beforeAutospacing="0" w:after="0" w:afterAutospacing="0" w:line="360" w:lineRule="auto"/>
              <w:ind w:firstLine="420" w:firstLineChars="200"/>
              <w:rPr>
                <w:rFonts w:cs="Times New Roman"/>
                <w:color w:val="000000"/>
                <w:sz w:val="21"/>
                <w:szCs w:val="21"/>
              </w:rPr>
            </w:pPr>
            <w:r>
              <w:rPr>
                <w:color w:val="000000"/>
                <w:sz w:val="21"/>
                <w:szCs w:val="21"/>
              </w:rPr>
              <w:t>1</w:t>
            </w:r>
            <w:r>
              <w:rPr>
                <w:rFonts w:hint="eastAsia"/>
                <w:color w:val="000000"/>
                <w:sz w:val="21"/>
                <w:szCs w:val="21"/>
              </w:rPr>
              <w:t>、工程质量达到国家现行有效法律法规、规范及合同文件所述的合格标准。</w:t>
            </w:r>
          </w:p>
          <w:p>
            <w:pPr>
              <w:pStyle w:val="57"/>
              <w:shd w:val="clear" w:color="auto" w:fill="FFFFFF"/>
              <w:spacing w:before="0" w:beforeAutospacing="0" w:after="0" w:afterAutospacing="0" w:line="360" w:lineRule="auto"/>
              <w:ind w:firstLine="420" w:firstLineChars="200"/>
              <w:rPr>
                <w:rFonts w:cs="Times New Roman"/>
                <w:color w:val="000000"/>
                <w:sz w:val="21"/>
                <w:szCs w:val="21"/>
              </w:rPr>
            </w:pPr>
            <w:r>
              <w:rPr>
                <w:color w:val="000000"/>
                <w:sz w:val="21"/>
                <w:szCs w:val="21"/>
              </w:rPr>
              <w:t>2</w:t>
            </w:r>
            <w:r>
              <w:rPr>
                <w:rFonts w:hint="eastAsia"/>
                <w:color w:val="000000"/>
                <w:sz w:val="21"/>
                <w:szCs w:val="21"/>
              </w:rPr>
              <w:t>、乙方必须做到材料及工程质量达标，维修尺寸合理，维修完成后墙面、地面干净美观，坚固耐用。同时乙方需将工程废料清理干净，保持各维修点干净整洁。</w:t>
            </w:r>
          </w:p>
          <w:p>
            <w:pPr>
              <w:pStyle w:val="57"/>
              <w:shd w:val="clear" w:color="auto" w:fill="FFFFFF"/>
              <w:spacing w:before="0" w:beforeAutospacing="0" w:after="0" w:afterAutospacing="0" w:line="360" w:lineRule="auto"/>
              <w:ind w:firstLine="420" w:firstLineChars="200"/>
              <w:rPr>
                <w:color w:val="000000"/>
                <w:sz w:val="21"/>
                <w:szCs w:val="21"/>
              </w:rPr>
            </w:pPr>
            <w:r>
              <w:rPr>
                <w:color w:val="000000"/>
                <w:sz w:val="21"/>
                <w:szCs w:val="21"/>
              </w:rPr>
              <w:t>3</w:t>
            </w:r>
            <w:r>
              <w:rPr>
                <w:rFonts w:hint="eastAsia"/>
                <w:color w:val="000000"/>
                <w:sz w:val="21"/>
                <w:szCs w:val="21"/>
              </w:rPr>
              <w:t>、乙方在接到甲方维修任务</w:t>
            </w:r>
            <w:r>
              <w:rPr>
                <w:color w:val="000000"/>
                <w:sz w:val="21"/>
                <w:szCs w:val="21"/>
              </w:rPr>
              <w:t>3</w:t>
            </w:r>
            <w:r>
              <w:rPr>
                <w:rFonts w:hint="eastAsia"/>
                <w:color w:val="000000"/>
                <w:sz w:val="21"/>
                <w:szCs w:val="21"/>
              </w:rPr>
              <w:t>小时内到达现场，紧急情况确保</w:t>
            </w:r>
            <w:r>
              <w:rPr>
                <w:color w:val="000000"/>
                <w:sz w:val="21"/>
                <w:szCs w:val="21"/>
              </w:rPr>
              <w:t>1</w:t>
            </w:r>
            <w:r>
              <w:rPr>
                <w:rFonts w:hint="eastAsia"/>
                <w:color w:val="000000"/>
                <w:sz w:val="21"/>
                <w:szCs w:val="21"/>
              </w:rPr>
              <w:t>小时内到场。</w:t>
            </w:r>
            <w:r>
              <w:rPr>
                <w:color w:val="000000"/>
                <w:sz w:val="21"/>
                <w:szCs w:val="21"/>
              </w:rPr>
              <w:t>2</w:t>
            </w:r>
            <w:r>
              <w:rPr>
                <w:rFonts w:hint="eastAsia"/>
                <w:color w:val="000000"/>
                <w:sz w:val="21"/>
                <w:szCs w:val="21"/>
              </w:rPr>
              <w:t>天内报出书面维修方案和费用，维修方案应包括维修工期，在方案获得甲方批准后立即开始实施，情况紧急需立即维修的经甲方同意后立即执行，事后将维修方案及费用补报甲方审批，乙方应在甲方指定的时间内完成维修并提请甲方竣工验收。乙方提请甲方竣工验收同时应提交竣工验收资料。隐蔽工程未经验收合格乙方不得擅自隐蔽，否则甲方有权指示乙方打开查验，因此导致的全部费用及损失由乙方承担。</w:t>
            </w:r>
          </w:p>
          <w:p>
            <w:pPr>
              <w:pStyle w:val="57"/>
              <w:shd w:val="clear" w:color="auto" w:fill="FFFFFF"/>
              <w:spacing w:before="0" w:beforeAutospacing="0" w:after="0" w:afterAutospacing="0" w:line="360" w:lineRule="auto"/>
              <w:ind w:firstLine="422" w:firstLineChars="200"/>
              <w:rPr>
                <w:color w:val="000000"/>
                <w:sz w:val="21"/>
                <w:szCs w:val="21"/>
              </w:rPr>
            </w:pPr>
            <w:r>
              <w:rPr>
                <w:rFonts w:hint="eastAsia"/>
                <w:b/>
                <w:bCs/>
                <w:color w:val="000000"/>
                <w:sz w:val="21"/>
                <w:szCs w:val="21"/>
              </w:rPr>
              <w:t>八、</w:t>
            </w:r>
            <w:r>
              <w:rPr>
                <w:rFonts w:hint="eastAsia"/>
                <w:color w:val="000000"/>
                <w:sz w:val="21"/>
                <w:szCs w:val="21"/>
              </w:rPr>
              <w:t>零星工程完工经甲方验收合格后，双方应签署验收合格确认书，签署验收合格确认书之日为竣工验收合格之日。验收合格后，乙方应及时向甲方提交竣工结算报告及结算资料，经甲方确认后方能作为结算付款的依据。付款前乙方应提供合法有效的完税发票，甲方按合同约定付款方式付清已结算工程款。</w:t>
            </w:r>
          </w:p>
          <w:p>
            <w:pPr>
              <w:pStyle w:val="57"/>
              <w:shd w:val="clear" w:color="auto" w:fill="FFFFFF"/>
              <w:spacing w:before="0" w:beforeAutospacing="0" w:after="0" w:afterAutospacing="0" w:line="360" w:lineRule="auto"/>
              <w:ind w:firstLine="422" w:firstLineChars="200"/>
              <w:rPr>
                <w:rFonts w:cs="Times New Roman"/>
                <w:b/>
                <w:bCs/>
                <w:color w:val="000000"/>
                <w:sz w:val="21"/>
                <w:szCs w:val="21"/>
              </w:rPr>
            </w:pPr>
            <w:r>
              <w:rPr>
                <w:rFonts w:hint="eastAsia"/>
                <w:b/>
                <w:bCs/>
                <w:color w:val="000000"/>
                <w:sz w:val="21"/>
                <w:szCs w:val="21"/>
              </w:rPr>
              <w:t>九、责任范围</w:t>
            </w:r>
          </w:p>
          <w:p>
            <w:pPr>
              <w:pStyle w:val="57"/>
              <w:shd w:val="clear" w:color="auto" w:fill="FFFFFF"/>
              <w:spacing w:before="0" w:beforeAutospacing="0" w:after="0" w:afterAutospacing="0" w:line="360" w:lineRule="auto"/>
              <w:ind w:firstLine="420" w:firstLineChars="200"/>
              <w:rPr>
                <w:rFonts w:cs="Times New Roman"/>
                <w:color w:val="000000"/>
                <w:sz w:val="21"/>
                <w:szCs w:val="21"/>
              </w:rPr>
            </w:pPr>
            <w:r>
              <w:rPr>
                <w:rFonts w:hint="eastAsia"/>
                <w:color w:val="000000"/>
                <w:sz w:val="21"/>
                <w:szCs w:val="21"/>
              </w:rPr>
              <w:t>（一）甲方的责任</w:t>
            </w:r>
          </w:p>
          <w:p>
            <w:pPr>
              <w:pStyle w:val="57"/>
              <w:shd w:val="clear" w:color="auto" w:fill="FFFFFF"/>
              <w:spacing w:before="0" w:beforeAutospacing="0" w:after="0" w:afterAutospacing="0" w:line="360" w:lineRule="auto"/>
              <w:rPr>
                <w:rFonts w:cs="Times New Roman"/>
                <w:color w:val="000000"/>
                <w:sz w:val="21"/>
                <w:szCs w:val="21"/>
              </w:rPr>
            </w:pPr>
            <w:r>
              <w:rPr>
                <w:rFonts w:cs="Times New Roman"/>
                <w:color w:val="000000"/>
                <w:sz w:val="21"/>
                <w:szCs w:val="21"/>
              </w:rPr>
              <w:t>  </w:t>
            </w:r>
            <w:r>
              <w:rPr>
                <w:color w:val="000000"/>
                <w:sz w:val="21"/>
                <w:szCs w:val="21"/>
              </w:rPr>
              <w:t>1</w:t>
            </w:r>
            <w:r>
              <w:rPr>
                <w:rFonts w:hint="eastAsia"/>
                <w:color w:val="000000"/>
                <w:sz w:val="21"/>
                <w:szCs w:val="21"/>
              </w:rPr>
              <w:t>、甲方提供乙方工程用水、用电，并承担由此产生的费用。</w:t>
            </w:r>
          </w:p>
          <w:p>
            <w:pPr>
              <w:pStyle w:val="57"/>
              <w:shd w:val="clear" w:color="auto" w:fill="FFFFFF"/>
              <w:spacing w:before="0" w:beforeAutospacing="0" w:after="0" w:afterAutospacing="0" w:line="360" w:lineRule="auto"/>
              <w:rPr>
                <w:rFonts w:cs="Times New Roman"/>
                <w:color w:val="000000"/>
                <w:sz w:val="21"/>
                <w:szCs w:val="21"/>
              </w:rPr>
            </w:pPr>
            <w:r>
              <w:rPr>
                <w:rFonts w:cs="Times New Roman"/>
                <w:color w:val="000000"/>
                <w:sz w:val="21"/>
                <w:szCs w:val="21"/>
              </w:rPr>
              <w:t>  </w:t>
            </w:r>
            <w:r>
              <w:rPr>
                <w:color w:val="000000"/>
                <w:sz w:val="21"/>
                <w:szCs w:val="21"/>
              </w:rPr>
              <w:t>2</w:t>
            </w:r>
            <w:r>
              <w:rPr>
                <w:rFonts w:hint="eastAsia"/>
                <w:color w:val="000000"/>
                <w:sz w:val="21"/>
                <w:szCs w:val="21"/>
              </w:rPr>
              <w:t>、按约定支付乙方维修款。</w:t>
            </w:r>
          </w:p>
          <w:p>
            <w:pPr>
              <w:pStyle w:val="57"/>
              <w:shd w:val="clear" w:color="auto" w:fill="FFFFFF"/>
              <w:spacing w:before="0" w:beforeAutospacing="0" w:after="0" w:afterAutospacing="0" w:line="360" w:lineRule="auto"/>
              <w:rPr>
                <w:rFonts w:cs="Times New Roman"/>
                <w:color w:val="000000"/>
                <w:sz w:val="21"/>
                <w:szCs w:val="21"/>
              </w:rPr>
            </w:pPr>
            <w:r>
              <w:rPr>
                <w:rFonts w:cs="Times New Roman"/>
                <w:color w:val="000000"/>
                <w:sz w:val="21"/>
                <w:szCs w:val="21"/>
              </w:rPr>
              <w:t>  </w:t>
            </w:r>
            <w:r>
              <w:rPr>
                <w:color w:val="000000"/>
                <w:sz w:val="21"/>
                <w:szCs w:val="21"/>
              </w:rPr>
              <w:t>3</w:t>
            </w:r>
            <w:r>
              <w:rPr>
                <w:rFonts w:hint="eastAsia"/>
                <w:color w:val="000000"/>
                <w:sz w:val="21"/>
                <w:szCs w:val="21"/>
              </w:rPr>
              <w:t>、负责组织维修项目的竣工验收。</w:t>
            </w:r>
          </w:p>
          <w:p>
            <w:pPr>
              <w:pStyle w:val="57"/>
              <w:shd w:val="clear" w:color="auto" w:fill="FFFFFF"/>
              <w:spacing w:before="0" w:beforeAutospacing="0" w:after="0" w:afterAutospacing="0" w:line="360" w:lineRule="auto"/>
              <w:rPr>
                <w:rFonts w:cs="Times New Roman"/>
                <w:color w:val="000000"/>
                <w:sz w:val="21"/>
                <w:szCs w:val="21"/>
              </w:rPr>
            </w:pPr>
            <w:r>
              <w:rPr>
                <w:rFonts w:cs="Times New Roman"/>
                <w:color w:val="000000"/>
                <w:sz w:val="21"/>
                <w:szCs w:val="21"/>
              </w:rPr>
              <w:t>  </w:t>
            </w:r>
            <w:r>
              <w:rPr>
                <w:rFonts w:hint="eastAsia"/>
                <w:color w:val="000000"/>
                <w:sz w:val="21"/>
                <w:szCs w:val="21"/>
              </w:rPr>
              <w:t>（二）乙方的责任</w:t>
            </w:r>
          </w:p>
          <w:p>
            <w:pPr>
              <w:pStyle w:val="57"/>
              <w:shd w:val="clear" w:color="auto" w:fill="FFFFFF"/>
              <w:spacing w:before="0" w:beforeAutospacing="0" w:after="0" w:afterAutospacing="0" w:line="360" w:lineRule="auto"/>
              <w:ind w:firstLine="420" w:firstLineChars="200"/>
              <w:rPr>
                <w:rFonts w:cs="Times New Roman"/>
                <w:color w:val="000000"/>
                <w:sz w:val="21"/>
                <w:szCs w:val="21"/>
              </w:rPr>
            </w:pPr>
            <w:r>
              <w:rPr>
                <w:color w:val="000000"/>
                <w:sz w:val="21"/>
                <w:szCs w:val="21"/>
              </w:rPr>
              <w:t>1</w:t>
            </w:r>
            <w:r>
              <w:rPr>
                <w:rFonts w:hint="eastAsia"/>
                <w:color w:val="000000"/>
                <w:sz w:val="21"/>
                <w:szCs w:val="21"/>
              </w:rPr>
              <w:t>、严格按已批准的维修方案及甲方的要求及说明进行施工，保证质量，按时完工并交付使用，乙方对所维修项目负责保修，各项目的保修期均为一年，各项目保修期自各自验收合格之日起算。</w:t>
            </w:r>
          </w:p>
          <w:p>
            <w:pPr>
              <w:pStyle w:val="57"/>
              <w:shd w:val="clear" w:color="auto" w:fill="FFFFFF"/>
              <w:spacing w:before="0" w:beforeAutospacing="0" w:after="0" w:afterAutospacing="0" w:line="360" w:lineRule="auto"/>
              <w:rPr>
                <w:rFonts w:cs="Times New Roman"/>
                <w:color w:val="000000"/>
                <w:sz w:val="21"/>
                <w:szCs w:val="21"/>
              </w:rPr>
            </w:pPr>
            <w:r>
              <w:rPr>
                <w:rFonts w:cs="Times New Roman"/>
                <w:color w:val="000000"/>
                <w:sz w:val="21"/>
                <w:szCs w:val="21"/>
              </w:rPr>
              <w:t>  </w:t>
            </w:r>
            <w:r>
              <w:rPr>
                <w:color w:val="000000"/>
                <w:sz w:val="21"/>
                <w:szCs w:val="21"/>
              </w:rPr>
              <w:t>2</w:t>
            </w:r>
            <w:r>
              <w:rPr>
                <w:rFonts w:hint="eastAsia"/>
                <w:color w:val="000000"/>
                <w:sz w:val="21"/>
                <w:szCs w:val="21"/>
              </w:rPr>
              <w:t>、负责提供全部竣工验收资料，参加甲方组织的工程竣工验收，办理竣工结算。</w:t>
            </w:r>
          </w:p>
          <w:p>
            <w:pPr>
              <w:pStyle w:val="57"/>
              <w:shd w:val="clear" w:color="auto" w:fill="FFFFFF"/>
              <w:spacing w:before="0" w:beforeAutospacing="0" w:after="0" w:afterAutospacing="0" w:line="360" w:lineRule="auto"/>
              <w:ind w:firstLine="420" w:firstLineChars="200"/>
              <w:rPr>
                <w:color w:val="000000"/>
                <w:sz w:val="21"/>
                <w:szCs w:val="21"/>
              </w:rPr>
            </w:pPr>
            <w:r>
              <w:rPr>
                <w:color w:val="000000"/>
                <w:sz w:val="21"/>
                <w:szCs w:val="21"/>
              </w:rPr>
              <w:t>3</w:t>
            </w:r>
            <w:r>
              <w:rPr>
                <w:rFonts w:hint="eastAsia"/>
                <w:color w:val="000000"/>
                <w:sz w:val="21"/>
                <w:szCs w:val="21"/>
              </w:rPr>
              <w:t>、在施工期间做好现场防火、防盗及安全生产工作、文明施工，工作中甲方不对乙方材料、设备等财产安全负责，因乙方施工过程或者施工后的工程质量问题引起的乙方人员、甲方人员或任何第三人的人身安全事故及其他事故，由乙方承担全部责任和损失。</w:t>
            </w:r>
          </w:p>
          <w:p>
            <w:pPr>
              <w:pStyle w:val="57"/>
              <w:shd w:val="clear" w:color="auto" w:fill="FFFFFF"/>
              <w:spacing w:before="0" w:beforeAutospacing="0" w:after="0" w:afterAutospacing="0" w:line="360" w:lineRule="auto"/>
              <w:ind w:firstLine="420" w:firstLineChars="200"/>
              <w:rPr>
                <w:rFonts w:cs="Times New Roman"/>
                <w:color w:val="000000"/>
                <w:sz w:val="21"/>
                <w:szCs w:val="21"/>
              </w:rPr>
            </w:pPr>
            <w:r>
              <w:rPr>
                <w:color w:val="000000"/>
                <w:sz w:val="21"/>
                <w:szCs w:val="21"/>
              </w:rPr>
              <w:t>4</w:t>
            </w:r>
            <w:r>
              <w:rPr>
                <w:rFonts w:hint="eastAsia"/>
                <w:color w:val="000000"/>
                <w:sz w:val="21"/>
                <w:szCs w:val="21"/>
              </w:rPr>
              <w:t>、乙方在施工期间不得损坏甲方设施，若有损坏现象，乙方需原价赔偿。</w:t>
            </w:r>
          </w:p>
          <w:p>
            <w:pPr>
              <w:pStyle w:val="57"/>
              <w:shd w:val="clear" w:color="auto" w:fill="FFFFFF"/>
              <w:spacing w:before="0" w:beforeAutospacing="0" w:after="0" w:afterAutospacing="0" w:line="360" w:lineRule="auto"/>
              <w:ind w:firstLine="422" w:firstLineChars="200"/>
              <w:rPr>
                <w:rFonts w:cs="Times New Roman"/>
                <w:b/>
                <w:bCs/>
                <w:color w:val="000000"/>
                <w:sz w:val="21"/>
                <w:szCs w:val="21"/>
              </w:rPr>
            </w:pPr>
            <w:r>
              <w:rPr>
                <w:rFonts w:hint="eastAsia"/>
                <w:b/>
                <w:bCs/>
                <w:color w:val="000000"/>
                <w:sz w:val="21"/>
                <w:szCs w:val="21"/>
              </w:rPr>
              <w:t>十、违约责任</w:t>
            </w:r>
          </w:p>
          <w:p>
            <w:pPr>
              <w:pStyle w:val="57"/>
              <w:shd w:val="clear" w:color="auto" w:fill="FFFFFF"/>
              <w:spacing w:before="0" w:beforeAutospacing="0" w:after="0" w:afterAutospacing="0" w:line="360" w:lineRule="auto"/>
              <w:rPr>
                <w:color w:val="000000"/>
                <w:sz w:val="21"/>
                <w:szCs w:val="21"/>
              </w:rPr>
            </w:pPr>
            <w:r>
              <w:rPr>
                <w:rFonts w:cs="Times New Roman"/>
                <w:color w:val="000000"/>
                <w:sz w:val="21"/>
                <w:szCs w:val="21"/>
              </w:rPr>
              <w:t>  </w:t>
            </w:r>
            <w:r>
              <w:rPr>
                <w:rFonts w:hint="eastAsia" w:cs="Times New Roman"/>
                <w:color w:val="000000"/>
                <w:sz w:val="21"/>
                <w:szCs w:val="21"/>
              </w:rPr>
              <w:t>1、</w:t>
            </w:r>
            <w:r>
              <w:rPr>
                <w:rFonts w:hint="eastAsia"/>
                <w:color w:val="000000"/>
                <w:sz w:val="21"/>
                <w:szCs w:val="21"/>
              </w:rPr>
              <w:t>如属乙方责任所发生施工质量问题，乙方必须无条件返工，由此产生的费用由乙方承担，因此导致工期逾期的，每逾期一天应承担工程款日万分之五的违约金，造成甲方损失的还应赔偿全部损失，甲方有权直接从工程款中扣除乙方应承担的违约金或损失。合同期内累计发生【】次质量问题，甲方有权解除合同，并追究乙方违约金【】元。</w:t>
            </w:r>
          </w:p>
          <w:p>
            <w:pPr>
              <w:pStyle w:val="57"/>
              <w:shd w:val="clear" w:color="auto" w:fill="FFFFFF"/>
              <w:spacing w:before="0" w:beforeAutospacing="0" w:after="0" w:afterAutospacing="0" w:line="360" w:lineRule="auto"/>
              <w:rPr>
                <w:color w:val="000000"/>
                <w:sz w:val="21"/>
                <w:szCs w:val="21"/>
              </w:rPr>
            </w:pPr>
            <w:r>
              <w:rPr>
                <w:rFonts w:hint="eastAsia"/>
                <w:color w:val="000000"/>
                <w:sz w:val="21"/>
                <w:szCs w:val="21"/>
              </w:rPr>
              <w:t xml:space="preserve">    2、甲方应按约及时结算工程价款，否则乙方可向甲方主张工程欠款的利息损失；乙方未及时提交竣工结算资料或存在其他违约行为，甲方有权拒付款项并不承担逾期付款责任。</w:t>
            </w:r>
          </w:p>
          <w:p>
            <w:pPr>
              <w:pStyle w:val="57"/>
              <w:shd w:val="clear" w:color="auto" w:fill="FFFFFF"/>
              <w:spacing w:before="0" w:beforeAutospacing="0" w:after="0" w:afterAutospacing="0" w:line="360" w:lineRule="auto"/>
              <w:rPr>
                <w:rFonts w:cs="Times New Roman"/>
                <w:color w:val="000000"/>
                <w:sz w:val="21"/>
                <w:szCs w:val="21"/>
              </w:rPr>
            </w:pPr>
            <w:r>
              <w:rPr>
                <w:rFonts w:cs="Times New Roman"/>
                <w:color w:val="000000"/>
                <w:sz w:val="21"/>
                <w:szCs w:val="21"/>
              </w:rPr>
              <w:t> </w:t>
            </w:r>
            <w:r>
              <w:rPr>
                <w:rFonts w:cs="Times New Roman"/>
                <w:b/>
                <w:bCs/>
                <w:color w:val="000000"/>
                <w:sz w:val="21"/>
                <w:szCs w:val="21"/>
              </w:rPr>
              <w:t> </w:t>
            </w:r>
            <w:r>
              <w:rPr>
                <w:rFonts w:hint="eastAsia"/>
                <w:b/>
                <w:bCs/>
                <w:color w:val="000000"/>
                <w:sz w:val="21"/>
                <w:szCs w:val="21"/>
              </w:rPr>
              <w:t>十一、其他事项</w:t>
            </w:r>
          </w:p>
          <w:p>
            <w:pPr>
              <w:pStyle w:val="57"/>
              <w:shd w:val="clear" w:color="auto" w:fill="FFFFFF"/>
              <w:spacing w:before="0" w:beforeAutospacing="0" w:after="0" w:afterAutospacing="0" w:line="360" w:lineRule="auto"/>
              <w:rPr>
                <w:color w:val="000000"/>
                <w:spacing w:val="2"/>
                <w:sz w:val="21"/>
                <w:szCs w:val="21"/>
              </w:rPr>
            </w:pPr>
            <w:r>
              <w:rPr>
                <w:rFonts w:cs="Times New Roman"/>
                <w:color w:val="000000"/>
                <w:sz w:val="21"/>
                <w:szCs w:val="21"/>
              </w:rPr>
              <w:t>  </w:t>
            </w:r>
            <w:r>
              <w:rPr>
                <w:color w:val="000000"/>
                <w:sz w:val="21"/>
                <w:szCs w:val="21"/>
              </w:rPr>
              <w:t>1</w:t>
            </w:r>
            <w:r>
              <w:rPr>
                <w:rFonts w:hint="eastAsia"/>
                <w:color w:val="000000"/>
                <w:sz w:val="21"/>
                <w:szCs w:val="21"/>
              </w:rPr>
              <w:t>、本合同未尽事宜，双方另行签订补充协议，</w:t>
            </w:r>
            <w:r>
              <w:rPr>
                <w:rFonts w:hint="eastAsia"/>
                <w:color w:val="000000"/>
                <w:spacing w:val="2"/>
                <w:sz w:val="21"/>
                <w:szCs w:val="21"/>
              </w:rPr>
              <w:t>补充协议具有同等法律效力。</w:t>
            </w:r>
          </w:p>
          <w:p>
            <w:pPr>
              <w:pStyle w:val="57"/>
              <w:shd w:val="clear" w:color="auto" w:fill="FFFFFF"/>
              <w:spacing w:before="0" w:beforeAutospacing="0" w:after="0" w:afterAutospacing="0" w:line="360" w:lineRule="auto"/>
              <w:rPr>
                <w:color w:val="000000"/>
                <w:spacing w:val="2"/>
                <w:sz w:val="21"/>
                <w:szCs w:val="21"/>
              </w:rPr>
            </w:pPr>
            <w:r>
              <w:rPr>
                <w:rFonts w:hint="eastAsia"/>
                <w:color w:val="000000"/>
                <w:spacing w:val="2"/>
                <w:sz w:val="21"/>
                <w:szCs w:val="21"/>
              </w:rPr>
              <w:t xml:space="preserve">    2、在履行合同中如发生争议，双方协商解决，协商不成的可向工程所在地人民法院起诉。</w:t>
            </w:r>
          </w:p>
          <w:p>
            <w:pPr>
              <w:pStyle w:val="57"/>
              <w:shd w:val="clear" w:color="auto" w:fill="FFFFFF"/>
              <w:spacing w:before="0" w:beforeAutospacing="0" w:after="0" w:afterAutospacing="0" w:line="360" w:lineRule="auto"/>
              <w:rPr>
                <w:rFonts w:cs="Times New Roman"/>
                <w:color w:val="000000"/>
                <w:sz w:val="21"/>
                <w:szCs w:val="21"/>
              </w:rPr>
            </w:pPr>
            <w:r>
              <w:rPr>
                <w:rFonts w:cs="Times New Roman"/>
                <w:color w:val="000000"/>
                <w:sz w:val="21"/>
                <w:szCs w:val="21"/>
              </w:rPr>
              <w:t>  </w:t>
            </w:r>
            <w:r>
              <w:rPr>
                <w:rFonts w:hint="eastAsia"/>
                <w:color w:val="000000"/>
                <w:sz w:val="21"/>
                <w:szCs w:val="21"/>
              </w:rPr>
              <w:t>3、本合同一式</w:t>
            </w:r>
            <w:r>
              <w:rPr>
                <w:rFonts w:hint="eastAsia"/>
                <w:color w:val="000000"/>
                <w:sz w:val="21"/>
                <w:szCs w:val="21"/>
                <w:u w:val="single"/>
              </w:rPr>
              <w:t>柒份</w:t>
            </w:r>
            <w:r>
              <w:rPr>
                <w:rFonts w:hint="eastAsia"/>
                <w:color w:val="000000"/>
                <w:sz w:val="21"/>
                <w:szCs w:val="21"/>
              </w:rPr>
              <w:t>，甲方执</w:t>
            </w:r>
            <w:r>
              <w:rPr>
                <w:rFonts w:hint="eastAsia"/>
                <w:color w:val="000000"/>
                <w:sz w:val="21"/>
                <w:szCs w:val="21"/>
                <w:u w:val="single"/>
              </w:rPr>
              <w:t>陆份</w:t>
            </w:r>
            <w:r>
              <w:rPr>
                <w:rFonts w:hint="eastAsia"/>
                <w:color w:val="000000"/>
                <w:sz w:val="21"/>
                <w:szCs w:val="21"/>
              </w:rPr>
              <w:t>，乙方执</w:t>
            </w:r>
            <w:r>
              <w:rPr>
                <w:rFonts w:hint="eastAsia"/>
                <w:color w:val="000000"/>
                <w:sz w:val="21"/>
                <w:szCs w:val="21"/>
                <w:u w:val="single"/>
              </w:rPr>
              <w:t>壹份</w:t>
            </w:r>
            <w:r>
              <w:rPr>
                <w:rFonts w:hint="eastAsia"/>
                <w:color w:val="000000"/>
                <w:sz w:val="21"/>
                <w:szCs w:val="21"/>
              </w:rPr>
              <w:t>，经双方签字并盖章后生效。</w:t>
            </w:r>
          </w:p>
          <w:p>
            <w:pPr>
              <w:pStyle w:val="57"/>
              <w:shd w:val="clear" w:color="auto" w:fill="FFFFFF"/>
              <w:spacing w:before="0" w:beforeAutospacing="0" w:after="0" w:afterAutospacing="0" w:line="360" w:lineRule="auto"/>
              <w:rPr>
                <w:rFonts w:cs="Times New Roman"/>
                <w:color w:val="000000"/>
                <w:sz w:val="21"/>
                <w:szCs w:val="21"/>
              </w:rPr>
            </w:pPr>
            <w:r>
              <w:rPr>
                <w:rFonts w:hint="eastAsia" w:cs="Times New Roman"/>
                <w:color w:val="000000"/>
                <w:sz w:val="21"/>
                <w:szCs w:val="21"/>
              </w:rPr>
              <w:t xml:space="preserve"> </w:t>
            </w:r>
            <w:r>
              <w:rPr>
                <w:rFonts w:cs="Times New Roman"/>
                <w:color w:val="000000"/>
                <w:sz w:val="21"/>
                <w:szCs w:val="21"/>
              </w:rPr>
              <w:t xml:space="preserve">   4</w:t>
            </w:r>
            <w:r>
              <w:rPr>
                <w:rFonts w:hint="eastAsia" w:cs="Times New Roman"/>
                <w:color w:val="000000"/>
                <w:sz w:val="21"/>
                <w:szCs w:val="21"/>
              </w:rPr>
              <w:t>、本合同项下任何一方或司法机关向对方发出的通知、信件、数据电文等，应当发送至本合同首页约定的地址、联系人和联系电话。一方当事人变更名称、地址、联系人或联系电话的，应当在变更后3日内及时书面通知对方当事人，对方当事人实际收到变更通知之前的送达仍为有效送达，电子送达与书面送达具有同等法律效力。</w:t>
            </w:r>
          </w:p>
          <w:p>
            <w:pPr>
              <w:pStyle w:val="57"/>
              <w:shd w:val="clear" w:color="auto" w:fill="FFFFFF"/>
              <w:spacing w:before="0" w:beforeAutospacing="0" w:after="0" w:afterAutospacing="0"/>
              <w:rPr>
                <w:b/>
                <w:color w:val="000000"/>
                <w:sz w:val="21"/>
                <w:szCs w:val="21"/>
              </w:rPr>
            </w:pPr>
          </w:p>
          <w:p>
            <w:pPr>
              <w:pStyle w:val="57"/>
              <w:shd w:val="clear" w:color="auto" w:fill="FFFFFF"/>
              <w:spacing w:before="0" w:beforeAutospacing="0" w:after="0" w:afterAutospacing="0"/>
              <w:rPr>
                <w:b/>
                <w:color w:val="000000"/>
                <w:sz w:val="21"/>
                <w:szCs w:val="21"/>
              </w:rPr>
            </w:pPr>
          </w:p>
          <w:p>
            <w:pPr>
              <w:pStyle w:val="57"/>
              <w:shd w:val="clear" w:color="auto" w:fill="FFFFFF"/>
              <w:spacing w:before="0" w:beforeAutospacing="0" w:after="0" w:afterAutospacing="0"/>
              <w:rPr>
                <w:rFonts w:cs="Times New Roman"/>
                <w:b/>
                <w:color w:val="000000"/>
                <w:sz w:val="21"/>
                <w:szCs w:val="21"/>
              </w:rPr>
            </w:pPr>
            <w:r>
              <w:rPr>
                <w:rFonts w:hint="eastAsia"/>
                <w:b/>
                <w:color w:val="000000"/>
                <w:sz w:val="21"/>
                <w:szCs w:val="21"/>
              </w:rPr>
              <w:t>甲方：</w:t>
            </w:r>
            <w:r>
              <w:rPr>
                <w:b/>
                <w:color w:val="000000"/>
                <w:sz w:val="21"/>
                <w:szCs w:val="21"/>
              </w:rPr>
              <w:t xml:space="preserve"> </w:t>
            </w:r>
            <w:r>
              <w:rPr>
                <w:rFonts w:hint="eastAsia"/>
                <w:b/>
                <w:color w:val="000000"/>
                <w:sz w:val="21"/>
                <w:szCs w:val="21"/>
              </w:rPr>
              <w:t>（公章）</w:t>
            </w:r>
            <w:r>
              <w:rPr>
                <w:b/>
                <w:color w:val="000000"/>
                <w:sz w:val="21"/>
                <w:szCs w:val="21"/>
              </w:rPr>
              <w:t xml:space="preserve">                          </w:t>
            </w:r>
            <w:r>
              <w:rPr>
                <w:rFonts w:hint="eastAsia"/>
                <w:b/>
                <w:color w:val="000000"/>
                <w:sz w:val="21"/>
                <w:szCs w:val="21"/>
              </w:rPr>
              <w:t>乙方：（公章）</w:t>
            </w:r>
          </w:p>
          <w:p>
            <w:pPr>
              <w:pStyle w:val="57"/>
              <w:shd w:val="clear" w:color="auto" w:fill="FFFFFF"/>
              <w:spacing w:before="0" w:beforeAutospacing="0" w:after="0" w:afterAutospacing="0"/>
              <w:rPr>
                <w:b/>
                <w:color w:val="000000"/>
                <w:sz w:val="21"/>
                <w:szCs w:val="21"/>
              </w:rPr>
            </w:pPr>
            <w:r>
              <w:rPr>
                <w:rFonts w:hint="eastAsia"/>
                <w:b/>
                <w:color w:val="000000"/>
                <w:sz w:val="21"/>
                <w:szCs w:val="21"/>
              </w:rPr>
              <w:t>法定代表人或委托人：</w:t>
            </w:r>
            <w:r>
              <w:rPr>
                <w:b/>
                <w:color w:val="000000"/>
                <w:sz w:val="21"/>
                <w:szCs w:val="21"/>
              </w:rPr>
              <w:t xml:space="preserve"> </w:t>
            </w:r>
            <w:r>
              <w:rPr>
                <w:rFonts w:hint="eastAsia"/>
                <w:b/>
                <w:color w:val="000000"/>
                <w:sz w:val="21"/>
                <w:szCs w:val="21"/>
              </w:rPr>
              <w:t xml:space="preserve"> </w:t>
            </w:r>
            <w:r>
              <w:rPr>
                <w:b/>
                <w:color w:val="000000"/>
                <w:sz w:val="21"/>
                <w:szCs w:val="21"/>
              </w:rPr>
              <w:t xml:space="preserve">                   </w:t>
            </w:r>
            <w:r>
              <w:rPr>
                <w:rFonts w:hint="eastAsia"/>
                <w:b/>
                <w:color w:val="000000"/>
                <w:sz w:val="21"/>
                <w:szCs w:val="21"/>
              </w:rPr>
              <w:t>法定代表人或委托人：</w:t>
            </w:r>
          </w:p>
          <w:p>
            <w:pPr>
              <w:pStyle w:val="57"/>
              <w:shd w:val="clear" w:color="auto" w:fill="FFFFFF"/>
              <w:spacing w:before="0" w:beforeAutospacing="0" w:after="0" w:afterAutospacing="0"/>
              <w:rPr>
                <w:b/>
                <w:color w:val="000000"/>
                <w:sz w:val="21"/>
                <w:szCs w:val="21"/>
              </w:rPr>
            </w:pPr>
            <w:r>
              <w:rPr>
                <w:rFonts w:hint="eastAsia"/>
                <w:b/>
                <w:color w:val="000000"/>
                <w:sz w:val="21"/>
                <w:szCs w:val="21"/>
              </w:rPr>
              <w:t xml:space="preserve">开户行及账号： </w:t>
            </w:r>
            <w:r>
              <w:rPr>
                <w:b/>
                <w:color w:val="000000"/>
                <w:sz w:val="21"/>
                <w:szCs w:val="21"/>
              </w:rPr>
              <w:t xml:space="preserve">                          </w:t>
            </w:r>
            <w:r>
              <w:rPr>
                <w:rFonts w:hint="eastAsia"/>
                <w:b/>
                <w:color w:val="000000"/>
                <w:sz w:val="21"/>
                <w:szCs w:val="21"/>
              </w:rPr>
              <w:t>开户行及账号：</w:t>
            </w:r>
          </w:p>
          <w:p>
            <w:pPr>
              <w:pStyle w:val="57"/>
              <w:shd w:val="clear" w:color="auto" w:fill="FFFFFF"/>
              <w:spacing w:before="0" w:beforeAutospacing="0" w:after="0" w:afterAutospacing="0"/>
              <w:rPr>
                <w:b/>
                <w:color w:val="000000"/>
                <w:sz w:val="21"/>
                <w:szCs w:val="21"/>
              </w:rPr>
            </w:pPr>
            <w:r>
              <w:rPr>
                <w:rFonts w:hint="eastAsia"/>
                <w:b/>
                <w:color w:val="000000"/>
                <w:sz w:val="21"/>
                <w:szCs w:val="21"/>
              </w:rPr>
              <w:t xml:space="preserve">地址： </w:t>
            </w:r>
            <w:r>
              <w:rPr>
                <w:b/>
                <w:color w:val="000000"/>
                <w:sz w:val="21"/>
                <w:szCs w:val="21"/>
              </w:rPr>
              <w:t xml:space="preserve">                                  </w:t>
            </w:r>
            <w:r>
              <w:rPr>
                <w:rFonts w:hint="eastAsia"/>
                <w:b/>
                <w:color w:val="000000"/>
                <w:sz w:val="21"/>
                <w:szCs w:val="21"/>
              </w:rPr>
              <w:t>地址：</w:t>
            </w:r>
          </w:p>
          <w:p>
            <w:pPr>
              <w:pStyle w:val="57"/>
              <w:shd w:val="clear" w:color="auto" w:fill="FFFFFF"/>
              <w:spacing w:before="0" w:beforeAutospacing="0" w:after="0" w:afterAutospacing="0"/>
              <w:rPr>
                <w:b/>
                <w:color w:val="000000"/>
                <w:sz w:val="21"/>
                <w:szCs w:val="21"/>
              </w:rPr>
            </w:pPr>
            <w:r>
              <w:rPr>
                <w:rFonts w:hint="eastAsia"/>
                <w:b/>
                <w:color w:val="000000"/>
                <w:sz w:val="21"/>
                <w:szCs w:val="21"/>
              </w:rPr>
              <w:t xml:space="preserve">联系电话 ： </w:t>
            </w:r>
            <w:r>
              <w:rPr>
                <w:b/>
                <w:color w:val="000000"/>
                <w:sz w:val="21"/>
                <w:szCs w:val="21"/>
              </w:rPr>
              <w:t xml:space="preserve">                             </w:t>
            </w:r>
            <w:r>
              <w:rPr>
                <w:rFonts w:hint="eastAsia"/>
                <w:b/>
                <w:color w:val="000000"/>
                <w:sz w:val="21"/>
                <w:szCs w:val="21"/>
              </w:rPr>
              <w:t>联系电话：</w:t>
            </w:r>
            <w:r>
              <w:rPr>
                <w:b/>
                <w:color w:val="000000"/>
                <w:sz w:val="21"/>
                <w:szCs w:val="21"/>
              </w:rPr>
              <w:t xml:space="preserve">                        </w:t>
            </w:r>
          </w:p>
          <w:p>
            <w:pPr>
              <w:pStyle w:val="57"/>
              <w:shd w:val="clear" w:color="auto" w:fill="FFFFFF"/>
              <w:spacing w:before="0" w:beforeAutospacing="0" w:after="0" w:afterAutospacing="0"/>
              <w:rPr>
                <w:b/>
                <w:color w:val="000000"/>
                <w:sz w:val="21"/>
                <w:szCs w:val="21"/>
              </w:rPr>
            </w:pPr>
            <w:r>
              <w:rPr>
                <w:rFonts w:hint="eastAsia"/>
                <w:b/>
                <w:color w:val="000000"/>
                <w:sz w:val="21"/>
                <w:szCs w:val="21"/>
              </w:rPr>
              <w:t>年</w:t>
            </w:r>
            <w:r>
              <w:rPr>
                <w:b/>
                <w:color w:val="000000"/>
                <w:sz w:val="21"/>
                <w:szCs w:val="21"/>
              </w:rPr>
              <w:t xml:space="preserve">  </w:t>
            </w:r>
            <w:r>
              <w:rPr>
                <w:rFonts w:hint="eastAsia"/>
                <w:b/>
                <w:color w:val="000000"/>
                <w:sz w:val="21"/>
                <w:szCs w:val="21"/>
              </w:rPr>
              <w:t>月</w:t>
            </w:r>
            <w:r>
              <w:rPr>
                <w:b/>
                <w:color w:val="000000"/>
                <w:sz w:val="21"/>
                <w:szCs w:val="21"/>
              </w:rPr>
              <w:t xml:space="preserve">  </w:t>
            </w:r>
            <w:r>
              <w:rPr>
                <w:rFonts w:hint="eastAsia"/>
                <w:b/>
                <w:color w:val="000000"/>
                <w:sz w:val="21"/>
                <w:szCs w:val="21"/>
              </w:rPr>
              <w:t>日</w:t>
            </w:r>
            <w:r>
              <w:rPr>
                <w:b/>
                <w:color w:val="000000"/>
                <w:sz w:val="21"/>
                <w:szCs w:val="21"/>
              </w:rPr>
              <w:t xml:space="preserve">                             </w:t>
            </w:r>
            <w:r>
              <w:rPr>
                <w:rFonts w:hint="eastAsia"/>
                <w:b/>
                <w:color w:val="000000"/>
                <w:sz w:val="21"/>
                <w:szCs w:val="21"/>
              </w:rPr>
              <w:t xml:space="preserve"> </w:t>
            </w:r>
            <w:r>
              <w:rPr>
                <w:b/>
                <w:color w:val="000000"/>
                <w:sz w:val="21"/>
                <w:szCs w:val="21"/>
              </w:rPr>
              <w:t xml:space="preserve"> </w:t>
            </w:r>
            <w:r>
              <w:rPr>
                <w:rFonts w:hint="eastAsia"/>
                <w:b/>
                <w:color w:val="000000"/>
                <w:sz w:val="21"/>
                <w:szCs w:val="21"/>
              </w:rPr>
              <w:t>年</w:t>
            </w:r>
            <w:r>
              <w:rPr>
                <w:b/>
                <w:color w:val="000000"/>
                <w:sz w:val="21"/>
                <w:szCs w:val="21"/>
              </w:rPr>
              <w:t xml:space="preserve">  </w:t>
            </w:r>
            <w:r>
              <w:rPr>
                <w:rFonts w:hint="eastAsia"/>
                <w:b/>
                <w:color w:val="000000"/>
                <w:sz w:val="21"/>
                <w:szCs w:val="21"/>
              </w:rPr>
              <w:t>月</w:t>
            </w:r>
            <w:r>
              <w:rPr>
                <w:b/>
                <w:color w:val="000000"/>
                <w:sz w:val="21"/>
                <w:szCs w:val="21"/>
              </w:rPr>
              <w:t xml:space="preserve">  </w:t>
            </w:r>
            <w:r>
              <w:rPr>
                <w:rFonts w:hint="eastAsia"/>
                <w:b/>
                <w:color w:val="000000"/>
                <w:sz w:val="21"/>
                <w:szCs w:val="21"/>
              </w:rPr>
              <w:t>日</w:t>
            </w:r>
          </w:p>
          <w:p>
            <w:pPr>
              <w:rPr>
                <w:rFonts w:ascii="宋体" w:hAnsi="宋体" w:eastAsia="宋体" w:cs="Arial Unicode MS"/>
                <w:szCs w:val="21"/>
              </w:rPr>
            </w:pPr>
            <w:r>
              <w:rPr>
                <w:rFonts w:hint="eastAsia"/>
                <w:color w:val="000000"/>
                <w:szCs w:val="21"/>
              </w:rPr>
              <w:br w:type="page"/>
            </w:r>
          </w:p>
        </w:tc>
      </w:tr>
    </w:tbl>
    <w:p>
      <w:pPr>
        <w:rPr>
          <w:rFonts w:ascii="宋体" w:hAnsi="宋体" w:eastAsia="宋体" w:cs="仿宋"/>
          <w:sz w:val="24"/>
          <w:szCs w:val="24"/>
        </w:rPr>
      </w:pP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lang w:val="en-US"/>
      </w:rPr>
    </w:lvl>
  </w:abstractNum>
  <w:abstractNum w:abstractNumId="1">
    <w:nsid w:val="F37FCBF2"/>
    <w:multiLevelType w:val="singleLevel"/>
    <w:tmpl w:val="F37FCBF2"/>
    <w:lvl w:ilvl="0" w:tentative="0">
      <w:start w:val="1"/>
      <w:numFmt w:val="chineseCounting"/>
      <w:suff w:val="nothing"/>
      <w:lvlText w:val="%1、"/>
      <w:lvlJc w:val="left"/>
      <w:rPr>
        <w:rFonts w:hint="eastAsia"/>
      </w:rPr>
    </w:lvl>
  </w:abstractNum>
  <w:abstractNum w:abstractNumId="2">
    <w:nsid w:val="FADC2D5B"/>
    <w:multiLevelType w:val="singleLevel"/>
    <w:tmpl w:val="FADC2D5B"/>
    <w:lvl w:ilvl="0" w:tentative="0">
      <w:start w:val="4"/>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5A4FD20"/>
    <w:multiLevelType w:val="singleLevel"/>
    <w:tmpl w:val="55A4FD20"/>
    <w:lvl w:ilvl="0" w:tentative="0">
      <w:start w:val="8"/>
      <w:numFmt w:val="chineseCounting"/>
      <w:suff w:val="nothing"/>
      <w:lvlText w:val="%1、"/>
      <w:lvlJc w:val="left"/>
      <w:rPr>
        <w:rFonts w:hint="eastAsia"/>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1E3F30"/>
    <w:rsid w:val="0024094B"/>
    <w:rsid w:val="002503E2"/>
    <w:rsid w:val="002623F4"/>
    <w:rsid w:val="002F6A92"/>
    <w:rsid w:val="003069FB"/>
    <w:rsid w:val="00317144"/>
    <w:rsid w:val="00324A0A"/>
    <w:rsid w:val="00352A45"/>
    <w:rsid w:val="003569BD"/>
    <w:rsid w:val="00357EDC"/>
    <w:rsid w:val="003738CF"/>
    <w:rsid w:val="003834B9"/>
    <w:rsid w:val="003E3E28"/>
    <w:rsid w:val="003F2F4A"/>
    <w:rsid w:val="00401650"/>
    <w:rsid w:val="004318DE"/>
    <w:rsid w:val="00440DEA"/>
    <w:rsid w:val="00465DB1"/>
    <w:rsid w:val="00492A62"/>
    <w:rsid w:val="004A0014"/>
    <w:rsid w:val="004D029F"/>
    <w:rsid w:val="004E4695"/>
    <w:rsid w:val="004F5587"/>
    <w:rsid w:val="00505F07"/>
    <w:rsid w:val="00542BBB"/>
    <w:rsid w:val="00563636"/>
    <w:rsid w:val="005A403D"/>
    <w:rsid w:val="0060271B"/>
    <w:rsid w:val="00643ADE"/>
    <w:rsid w:val="006544EC"/>
    <w:rsid w:val="006556EA"/>
    <w:rsid w:val="00667426"/>
    <w:rsid w:val="006A3D57"/>
    <w:rsid w:val="006B5D0A"/>
    <w:rsid w:val="006C3663"/>
    <w:rsid w:val="0070549E"/>
    <w:rsid w:val="007778BD"/>
    <w:rsid w:val="007B6243"/>
    <w:rsid w:val="007E7A49"/>
    <w:rsid w:val="007F0BFD"/>
    <w:rsid w:val="00856815"/>
    <w:rsid w:val="008613D5"/>
    <w:rsid w:val="0087401B"/>
    <w:rsid w:val="00885EE5"/>
    <w:rsid w:val="008E5B26"/>
    <w:rsid w:val="00957BCC"/>
    <w:rsid w:val="009762EB"/>
    <w:rsid w:val="00985A74"/>
    <w:rsid w:val="009B7C41"/>
    <w:rsid w:val="009C3D5D"/>
    <w:rsid w:val="009D176B"/>
    <w:rsid w:val="00A00917"/>
    <w:rsid w:val="00A47E42"/>
    <w:rsid w:val="00A66191"/>
    <w:rsid w:val="00A8369C"/>
    <w:rsid w:val="00AD4593"/>
    <w:rsid w:val="00AE68DC"/>
    <w:rsid w:val="00AE6C72"/>
    <w:rsid w:val="00B13195"/>
    <w:rsid w:val="00B25D3E"/>
    <w:rsid w:val="00B311FF"/>
    <w:rsid w:val="00B6606D"/>
    <w:rsid w:val="00B779DC"/>
    <w:rsid w:val="00B94575"/>
    <w:rsid w:val="00B94CE5"/>
    <w:rsid w:val="00BB6994"/>
    <w:rsid w:val="00BC53E6"/>
    <w:rsid w:val="00C03CD7"/>
    <w:rsid w:val="00C05841"/>
    <w:rsid w:val="00C251F8"/>
    <w:rsid w:val="00C65CAF"/>
    <w:rsid w:val="00C67A8F"/>
    <w:rsid w:val="00C84C28"/>
    <w:rsid w:val="00CD5AE8"/>
    <w:rsid w:val="00CF5D5B"/>
    <w:rsid w:val="00D072FA"/>
    <w:rsid w:val="00D10DAB"/>
    <w:rsid w:val="00D47E8F"/>
    <w:rsid w:val="00D50F3F"/>
    <w:rsid w:val="00D55951"/>
    <w:rsid w:val="00D937EB"/>
    <w:rsid w:val="00DA48A9"/>
    <w:rsid w:val="00DB3C4D"/>
    <w:rsid w:val="00DC351D"/>
    <w:rsid w:val="00DF005A"/>
    <w:rsid w:val="00E04EA3"/>
    <w:rsid w:val="00E118DC"/>
    <w:rsid w:val="00E15BF1"/>
    <w:rsid w:val="00E250D7"/>
    <w:rsid w:val="00E85DDD"/>
    <w:rsid w:val="00EB5667"/>
    <w:rsid w:val="00EC7A71"/>
    <w:rsid w:val="00F34F45"/>
    <w:rsid w:val="00F3744A"/>
    <w:rsid w:val="00F53C48"/>
    <w:rsid w:val="00F934B2"/>
    <w:rsid w:val="00FD4A63"/>
    <w:rsid w:val="02810D87"/>
    <w:rsid w:val="03EA43FF"/>
    <w:rsid w:val="046D4368"/>
    <w:rsid w:val="049A5E25"/>
    <w:rsid w:val="0514269A"/>
    <w:rsid w:val="06202F55"/>
    <w:rsid w:val="06641F4F"/>
    <w:rsid w:val="06E93094"/>
    <w:rsid w:val="07456745"/>
    <w:rsid w:val="07BD3408"/>
    <w:rsid w:val="07F55C66"/>
    <w:rsid w:val="09526CCE"/>
    <w:rsid w:val="09657974"/>
    <w:rsid w:val="09907D5D"/>
    <w:rsid w:val="09C17C7E"/>
    <w:rsid w:val="0B6E6F2E"/>
    <w:rsid w:val="0C42414C"/>
    <w:rsid w:val="0C4F1790"/>
    <w:rsid w:val="0D6E60A1"/>
    <w:rsid w:val="0E945864"/>
    <w:rsid w:val="0EC57F43"/>
    <w:rsid w:val="0ED61EC0"/>
    <w:rsid w:val="0EDF1DD1"/>
    <w:rsid w:val="0F462A38"/>
    <w:rsid w:val="0FC81DF4"/>
    <w:rsid w:val="0FD06E2E"/>
    <w:rsid w:val="0FD3751C"/>
    <w:rsid w:val="100D35AF"/>
    <w:rsid w:val="1032785A"/>
    <w:rsid w:val="10BC5375"/>
    <w:rsid w:val="13C702B9"/>
    <w:rsid w:val="14BC5944"/>
    <w:rsid w:val="14F766D0"/>
    <w:rsid w:val="15E74C42"/>
    <w:rsid w:val="176127D3"/>
    <w:rsid w:val="1A78230D"/>
    <w:rsid w:val="1A8C7C0A"/>
    <w:rsid w:val="1B487F31"/>
    <w:rsid w:val="1BF84678"/>
    <w:rsid w:val="1C850D11"/>
    <w:rsid w:val="1D75282A"/>
    <w:rsid w:val="1DD16C05"/>
    <w:rsid w:val="1E3D5D47"/>
    <w:rsid w:val="1E6A5E28"/>
    <w:rsid w:val="1E877922"/>
    <w:rsid w:val="1EAA20B1"/>
    <w:rsid w:val="1EF8161D"/>
    <w:rsid w:val="20062169"/>
    <w:rsid w:val="20416BE0"/>
    <w:rsid w:val="21225287"/>
    <w:rsid w:val="21E549B1"/>
    <w:rsid w:val="22022E9B"/>
    <w:rsid w:val="22456F79"/>
    <w:rsid w:val="23BC14BC"/>
    <w:rsid w:val="23C46957"/>
    <w:rsid w:val="240A34A1"/>
    <w:rsid w:val="244E0945"/>
    <w:rsid w:val="245C3FA4"/>
    <w:rsid w:val="25F9028E"/>
    <w:rsid w:val="261C4494"/>
    <w:rsid w:val="27D61735"/>
    <w:rsid w:val="2AEF3F25"/>
    <w:rsid w:val="2B2670A9"/>
    <w:rsid w:val="2BAE1E0F"/>
    <w:rsid w:val="2C360BA1"/>
    <w:rsid w:val="2C462709"/>
    <w:rsid w:val="2C5A7AC4"/>
    <w:rsid w:val="2FA51FF8"/>
    <w:rsid w:val="302C0287"/>
    <w:rsid w:val="3075353C"/>
    <w:rsid w:val="30E31275"/>
    <w:rsid w:val="32453CEA"/>
    <w:rsid w:val="32F25DB3"/>
    <w:rsid w:val="33504359"/>
    <w:rsid w:val="34BC2E77"/>
    <w:rsid w:val="35E514C7"/>
    <w:rsid w:val="37BF5665"/>
    <w:rsid w:val="393F42CA"/>
    <w:rsid w:val="39617102"/>
    <w:rsid w:val="39DF785B"/>
    <w:rsid w:val="3A3B6D2D"/>
    <w:rsid w:val="3AC84793"/>
    <w:rsid w:val="3B0A3DA1"/>
    <w:rsid w:val="3B245E6D"/>
    <w:rsid w:val="3F3B3785"/>
    <w:rsid w:val="3FAF1604"/>
    <w:rsid w:val="40155D85"/>
    <w:rsid w:val="4048214A"/>
    <w:rsid w:val="4075369B"/>
    <w:rsid w:val="40D5722F"/>
    <w:rsid w:val="414334DE"/>
    <w:rsid w:val="41BE0DD7"/>
    <w:rsid w:val="42174B0E"/>
    <w:rsid w:val="43AA2C88"/>
    <w:rsid w:val="43C81360"/>
    <w:rsid w:val="43EB3251"/>
    <w:rsid w:val="446A056C"/>
    <w:rsid w:val="44990322"/>
    <w:rsid w:val="46113492"/>
    <w:rsid w:val="466C691A"/>
    <w:rsid w:val="47B265C4"/>
    <w:rsid w:val="47B57904"/>
    <w:rsid w:val="48730996"/>
    <w:rsid w:val="48D83DF3"/>
    <w:rsid w:val="4A88019B"/>
    <w:rsid w:val="4ADC2FC7"/>
    <w:rsid w:val="4B1120BD"/>
    <w:rsid w:val="4C044B15"/>
    <w:rsid w:val="4C4756D1"/>
    <w:rsid w:val="4D9549A9"/>
    <w:rsid w:val="506269CA"/>
    <w:rsid w:val="508F56DF"/>
    <w:rsid w:val="50F03D6F"/>
    <w:rsid w:val="51151866"/>
    <w:rsid w:val="5261632C"/>
    <w:rsid w:val="54A61249"/>
    <w:rsid w:val="551B5E9C"/>
    <w:rsid w:val="55986E64"/>
    <w:rsid w:val="57160F93"/>
    <w:rsid w:val="57FA3D86"/>
    <w:rsid w:val="58022C3B"/>
    <w:rsid w:val="58D662E9"/>
    <w:rsid w:val="59611AB6"/>
    <w:rsid w:val="5994098E"/>
    <w:rsid w:val="5A8B67CF"/>
    <w:rsid w:val="5AB50438"/>
    <w:rsid w:val="5AC11CB2"/>
    <w:rsid w:val="5BC00E43"/>
    <w:rsid w:val="5BD415B9"/>
    <w:rsid w:val="5C384E7D"/>
    <w:rsid w:val="5E124648"/>
    <w:rsid w:val="60370C9F"/>
    <w:rsid w:val="60477D84"/>
    <w:rsid w:val="6149259A"/>
    <w:rsid w:val="62CA0DEA"/>
    <w:rsid w:val="62CC4313"/>
    <w:rsid w:val="62D80E8F"/>
    <w:rsid w:val="631A4CD5"/>
    <w:rsid w:val="63424833"/>
    <w:rsid w:val="65363F24"/>
    <w:rsid w:val="66054103"/>
    <w:rsid w:val="663E15C8"/>
    <w:rsid w:val="66767926"/>
    <w:rsid w:val="671E7365"/>
    <w:rsid w:val="68554B6D"/>
    <w:rsid w:val="6AF14211"/>
    <w:rsid w:val="6B87372B"/>
    <w:rsid w:val="6BCB6C2E"/>
    <w:rsid w:val="6CB843E9"/>
    <w:rsid w:val="6F2A02A5"/>
    <w:rsid w:val="6F671833"/>
    <w:rsid w:val="6FC54822"/>
    <w:rsid w:val="6FDF3411"/>
    <w:rsid w:val="7016507D"/>
    <w:rsid w:val="708E13B0"/>
    <w:rsid w:val="70932B20"/>
    <w:rsid w:val="7104581E"/>
    <w:rsid w:val="715C2B37"/>
    <w:rsid w:val="7169441D"/>
    <w:rsid w:val="719467C3"/>
    <w:rsid w:val="71E2790D"/>
    <w:rsid w:val="72A7624D"/>
    <w:rsid w:val="73093CE5"/>
    <w:rsid w:val="732426AE"/>
    <w:rsid w:val="73E27DCB"/>
    <w:rsid w:val="74982505"/>
    <w:rsid w:val="74A425B0"/>
    <w:rsid w:val="75994A53"/>
    <w:rsid w:val="760F2C9B"/>
    <w:rsid w:val="765E4A8E"/>
    <w:rsid w:val="76782759"/>
    <w:rsid w:val="77C84947"/>
    <w:rsid w:val="78446BF0"/>
    <w:rsid w:val="7A911ED0"/>
    <w:rsid w:val="7ABD56E4"/>
    <w:rsid w:val="7AE1082E"/>
    <w:rsid w:val="7B001352"/>
    <w:rsid w:val="7CEC65E1"/>
    <w:rsid w:val="7EB905B6"/>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autoRedefine/>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1"/>
    <w:autoRedefine/>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2"/>
    <w:autoRedefine/>
    <w:qFormat/>
    <w:uiPriority w:val="0"/>
    <w:pPr>
      <w:keepNext/>
      <w:keepLines/>
      <w:spacing w:before="120" w:after="120"/>
      <w:outlineLvl w:val="2"/>
    </w:pPr>
    <w:rPr>
      <w:rFonts w:eastAsia="仿宋"/>
      <w:b/>
      <w:sz w:val="30"/>
    </w:rPr>
  </w:style>
  <w:style w:type="character" w:default="1" w:styleId="22">
    <w:name w:val="Default Paragraph Font"/>
    <w:semiHidden/>
    <w:unhideWhenUsed/>
    <w:uiPriority w:val="1"/>
  </w:style>
  <w:style w:type="table" w:default="1" w:styleId="20">
    <w:name w:val="Normal Table"/>
    <w:autoRedefine/>
    <w:semiHidden/>
    <w:unhideWhenUsed/>
    <w:uiPriority w:val="99"/>
    <w:tblPr>
      <w:tblCellMar>
        <w:top w:w="0" w:type="dxa"/>
        <w:left w:w="108" w:type="dxa"/>
        <w:bottom w:w="0" w:type="dxa"/>
        <w:right w:w="108" w:type="dxa"/>
      </w:tblCellMar>
    </w:tblPr>
  </w:style>
  <w:style w:type="paragraph" w:styleId="5">
    <w:name w:val="table of authorities"/>
    <w:basedOn w:val="1"/>
    <w:next w:val="1"/>
    <w:autoRedefine/>
    <w:qFormat/>
    <w:uiPriority w:val="99"/>
    <w:pPr>
      <w:ind w:left="420" w:leftChars="200"/>
    </w:pPr>
  </w:style>
  <w:style w:type="paragraph" w:styleId="6">
    <w:name w:val="Normal Indent"/>
    <w:basedOn w:val="1"/>
    <w:autoRedefine/>
    <w:qFormat/>
    <w:uiPriority w:val="0"/>
    <w:pPr>
      <w:ind w:firstLine="420" w:firstLineChars="200"/>
    </w:pPr>
  </w:style>
  <w:style w:type="paragraph" w:styleId="7">
    <w:name w:val="annotation text"/>
    <w:basedOn w:val="1"/>
    <w:link w:val="34"/>
    <w:autoRedefine/>
    <w:qFormat/>
    <w:uiPriority w:val="0"/>
    <w:pPr>
      <w:jc w:val="left"/>
    </w:pPr>
  </w:style>
  <w:style w:type="paragraph" w:styleId="8">
    <w:name w:val="Body Text"/>
    <w:basedOn w:val="1"/>
    <w:next w:val="1"/>
    <w:link w:val="33"/>
    <w:autoRedefine/>
    <w:qFormat/>
    <w:uiPriority w:val="0"/>
    <w:pPr>
      <w:spacing w:after="120"/>
    </w:pPr>
  </w:style>
  <w:style w:type="paragraph" w:styleId="9">
    <w:name w:val="Body Text Indent"/>
    <w:basedOn w:val="1"/>
    <w:autoRedefine/>
    <w:qFormat/>
    <w:uiPriority w:val="0"/>
    <w:pPr>
      <w:ind w:firstLine="630"/>
    </w:pPr>
    <w:rPr>
      <w:rFonts w:ascii="Times New Roman"/>
      <w:sz w:val="32"/>
    </w:rPr>
  </w:style>
  <w:style w:type="paragraph" w:styleId="10">
    <w:name w:val="Plain Text"/>
    <w:basedOn w:val="1"/>
    <w:autoRedefine/>
    <w:qFormat/>
    <w:uiPriority w:val="0"/>
    <w:rPr>
      <w:rFonts w:hAnsi="Courier New"/>
    </w:rPr>
  </w:style>
  <w:style w:type="paragraph" w:styleId="11">
    <w:name w:val="Date"/>
    <w:basedOn w:val="1"/>
    <w:next w:val="1"/>
    <w:link w:val="48"/>
    <w:autoRedefine/>
    <w:semiHidden/>
    <w:unhideWhenUsed/>
    <w:qFormat/>
    <w:uiPriority w:val="99"/>
    <w:pPr>
      <w:ind w:left="100" w:leftChars="2500"/>
    </w:pPr>
  </w:style>
  <w:style w:type="paragraph" w:styleId="12">
    <w:name w:val="Body Text Indent 2"/>
    <w:basedOn w:val="1"/>
    <w:link w:val="35"/>
    <w:autoRedefine/>
    <w:qFormat/>
    <w:uiPriority w:val="0"/>
    <w:pPr>
      <w:ind w:firstLine="630"/>
    </w:pPr>
    <w:rPr>
      <w:sz w:val="32"/>
    </w:rPr>
  </w:style>
  <w:style w:type="paragraph" w:styleId="13">
    <w:name w:val="Balloon Text"/>
    <w:basedOn w:val="1"/>
    <w:link w:val="51"/>
    <w:autoRedefine/>
    <w:semiHidden/>
    <w:unhideWhenUsed/>
    <w:qFormat/>
    <w:uiPriority w:val="99"/>
    <w:rPr>
      <w:sz w:val="18"/>
      <w:szCs w:val="18"/>
    </w:rPr>
  </w:style>
  <w:style w:type="paragraph" w:styleId="14">
    <w:name w:val="footer"/>
    <w:basedOn w:val="1"/>
    <w:link w:val="29"/>
    <w:autoRedefine/>
    <w:unhideWhenUsed/>
    <w:qFormat/>
    <w:uiPriority w:val="0"/>
    <w:pPr>
      <w:tabs>
        <w:tab w:val="center" w:pos="4153"/>
        <w:tab w:val="right" w:pos="8306"/>
      </w:tabs>
      <w:snapToGrid w:val="0"/>
      <w:jc w:val="left"/>
    </w:pPr>
    <w:rPr>
      <w:sz w:val="18"/>
      <w:szCs w:val="18"/>
    </w:rPr>
  </w:style>
  <w:style w:type="paragraph" w:styleId="15">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style>
  <w:style w:type="paragraph" w:styleId="17">
    <w:name w:val="Subtitle"/>
    <w:basedOn w:val="1"/>
    <w:next w:val="1"/>
    <w:link w:val="36"/>
    <w:autoRedefine/>
    <w:qFormat/>
    <w:uiPriority w:val="0"/>
    <w:rPr>
      <w:sz w:val="28"/>
    </w:rPr>
  </w:style>
  <w:style w:type="paragraph" w:styleId="18">
    <w:name w:val="annotation subject"/>
    <w:basedOn w:val="7"/>
    <w:next w:val="7"/>
    <w:link w:val="49"/>
    <w:autoRedefine/>
    <w:semiHidden/>
    <w:unhideWhenUsed/>
    <w:qFormat/>
    <w:uiPriority w:val="99"/>
    <w:rPr>
      <w:b/>
      <w:bCs/>
    </w:rPr>
  </w:style>
  <w:style w:type="paragraph" w:styleId="19">
    <w:name w:val="Body Text First Indent"/>
    <w:basedOn w:val="8"/>
    <w:link w:val="37"/>
    <w:autoRedefine/>
    <w:qFormat/>
    <w:uiPriority w:val="0"/>
    <w:pPr>
      <w:spacing w:line="360" w:lineRule="auto"/>
      <w:ind w:firstLine="420"/>
    </w:pPr>
    <w:rPr>
      <w:rFonts w:ascii="宋体" w:hAnsi="宋体"/>
      <w:sz w:val="24"/>
    </w:rPr>
  </w:style>
  <w:style w:type="table" w:styleId="21">
    <w:name w:val="Table Grid"/>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annotation reference"/>
    <w:basedOn w:val="22"/>
    <w:autoRedefine/>
    <w:semiHidden/>
    <w:unhideWhenUsed/>
    <w:qFormat/>
    <w:uiPriority w:val="99"/>
    <w:rPr>
      <w:sz w:val="21"/>
      <w:szCs w:val="21"/>
    </w:rPr>
  </w:style>
  <w:style w:type="paragraph" w:customStyle="1" w:styleId="25">
    <w:name w:val="标题 5（有编号）（绿盟科技）"/>
    <w:basedOn w:val="26"/>
    <w:next w:val="27"/>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7">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28">
    <w:name w:val="页眉 字符"/>
    <w:basedOn w:val="22"/>
    <w:link w:val="15"/>
    <w:autoRedefine/>
    <w:qFormat/>
    <w:uiPriority w:val="99"/>
    <w:rPr>
      <w:sz w:val="18"/>
      <w:szCs w:val="18"/>
    </w:rPr>
  </w:style>
  <w:style w:type="character" w:customStyle="1" w:styleId="29">
    <w:name w:val="页脚 字符"/>
    <w:basedOn w:val="22"/>
    <w:link w:val="14"/>
    <w:autoRedefine/>
    <w:qFormat/>
    <w:uiPriority w:val="99"/>
    <w:rPr>
      <w:sz w:val="18"/>
      <w:szCs w:val="18"/>
    </w:rPr>
  </w:style>
  <w:style w:type="character" w:customStyle="1" w:styleId="30">
    <w:name w:val="标题 1 字符"/>
    <w:basedOn w:val="22"/>
    <w:link w:val="2"/>
    <w:autoRedefine/>
    <w:qFormat/>
    <w:uiPriority w:val="99"/>
    <w:rPr>
      <w:b/>
      <w:bCs/>
      <w:kern w:val="44"/>
      <w:sz w:val="44"/>
      <w:szCs w:val="44"/>
    </w:rPr>
  </w:style>
  <w:style w:type="character" w:customStyle="1" w:styleId="31">
    <w:name w:val="标题 2 字符"/>
    <w:basedOn w:val="22"/>
    <w:link w:val="3"/>
    <w:autoRedefine/>
    <w:qFormat/>
    <w:uiPriority w:val="0"/>
    <w:rPr>
      <w:rFonts w:ascii="Arial" w:hAnsi="Arial" w:eastAsia="仿宋"/>
      <w:b/>
      <w:bCs/>
      <w:sz w:val="28"/>
      <w:szCs w:val="32"/>
    </w:rPr>
  </w:style>
  <w:style w:type="character" w:customStyle="1" w:styleId="32">
    <w:name w:val="标题 3 字符"/>
    <w:basedOn w:val="22"/>
    <w:link w:val="4"/>
    <w:autoRedefine/>
    <w:qFormat/>
    <w:uiPriority w:val="0"/>
    <w:rPr>
      <w:rFonts w:eastAsia="仿宋"/>
      <w:b/>
      <w:sz w:val="30"/>
    </w:rPr>
  </w:style>
  <w:style w:type="character" w:customStyle="1" w:styleId="33">
    <w:name w:val="正文文本 字符"/>
    <w:basedOn w:val="22"/>
    <w:link w:val="8"/>
    <w:autoRedefine/>
    <w:qFormat/>
    <w:uiPriority w:val="0"/>
  </w:style>
  <w:style w:type="character" w:customStyle="1" w:styleId="34">
    <w:name w:val="批注文字 字符"/>
    <w:basedOn w:val="22"/>
    <w:link w:val="7"/>
    <w:autoRedefine/>
    <w:qFormat/>
    <w:uiPriority w:val="0"/>
  </w:style>
  <w:style w:type="character" w:customStyle="1" w:styleId="35">
    <w:name w:val="正文文本缩进 2 字符"/>
    <w:basedOn w:val="22"/>
    <w:link w:val="12"/>
    <w:autoRedefine/>
    <w:qFormat/>
    <w:uiPriority w:val="0"/>
    <w:rPr>
      <w:sz w:val="32"/>
    </w:rPr>
  </w:style>
  <w:style w:type="character" w:customStyle="1" w:styleId="36">
    <w:name w:val="副标题 字符"/>
    <w:basedOn w:val="22"/>
    <w:link w:val="17"/>
    <w:autoRedefine/>
    <w:qFormat/>
    <w:uiPriority w:val="0"/>
    <w:rPr>
      <w:sz w:val="28"/>
    </w:rPr>
  </w:style>
  <w:style w:type="character" w:customStyle="1" w:styleId="37">
    <w:name w:val="正文首行缩进 字符"/>
    <w:basedOn w:val="33"/>
    <w:link w:val="19"/>
    <w:autoRedefine/>
    <w:qFormat/>
    <w:uiPriority w:val="0"/>
    <w:rPr>
      <w:rFonts w:ascii="宋体" w:hAnsi="宋体"/>
      <w:sz w:val="24"/>
    </w:rPr>
  </w:style>
  <w:style w:type="paragraph" w:customStyle="1" w:styleId="38">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3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0">
    <w:name w:val="表格"/>
    <w:basedOn w:val="1"/>
    <w:autoRedefine/>
    <w:qFormat/>
    <w:uiPriority w:val="0"/>
    <w:pPr>
      <w:spacing w:line="400" w:lineRule="exact"/>
    </w:pPr>
    <w:rPr>
      <w:sz w:val="24"/>
      <w:szCs w:val="24"/>
    </w:rPr>
  </w:style>
  <w:style w:type="paragraph" w:customStyle="1" w:styleId="41">
    <w:name w:val="样式 首行缩进:  2 字符"/>
    <w:basedOn w:val="1"/>
    <w:autoRedefine/>
    <w:qFormat/>
    <w:uiPriority w:val="0"/>
    <w:pPr>
      <w:spacing w:line="400" w:lineRule="exact"/>
      <w:ind w:firstLine="200" w:firstLineChars="200"/>
    </w:pPr>
    <w:rPr>
      <w:rFonts w:cs="宋体"/>
      <w:sz w:val="24"/>
    </w:rPr>
  </w:style>
  <w:style w:type="paragraph" w:customStyle="1" w:styleId="42">
    <w:name w:val="列出段落1"/>
    <w:basedOn w:val="1"/>
    <w:autoRedefine/>
    <w:qFormat/>
    <w:uiPriority w:val="0"/>
    <w:pPr>
      <w:ind w:firstLine="420" w:firstLineChars="200"/>
    </w:pPr>
    <w:rPr>
      <w:szCs w:val="24"/>
    </w:rPr>
  </w:style>
  <w:style w:type="paragraph" w:customStyle="1" w:styleId="43">
    <w:name w:val="WPSOffice手动目录 1"/>
    <w:autoRedefine/>
    <w:qFormat/>
    <w:uiPriority w:val="0"/>
    <w:rPr>
      <w:rFonts w:ascii="Times New Roman" w:hAnsi="Times New Roman" w:eastAsia="宋体" w:cs="Times New Roman"/>
      <w:lang w:val="en-US" w:eastAsia="zh-CN" w:bidi="ar-SA"/>
    </w:rPr>
  </w:style>
  <w:style w:type="paragraph" w:customStyle="1" w:styleId="44">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5">
    <w:name w:val="font31"/>
    <w:autoRedefine/>
    <w:qFormat/>
    <w:uiPriority w:val="0"/>
    <w:rPr>
      <w:rFonts w:hint="eastAsia" w:ascii="宋体" w:hAnsi="宋体" w:eastAsia="宋体" w:cs="宋体"/>
      <w:b/>
      <w:color w:val="000000"/>
      <w:sz w:val="22"/>
      <w:szCs w:val="22"/>
      <w:u w:val="none"/>
    </w:rPr>
  </w:style>
  <w:style w:type="character" w:customStyle="1" w:styleId="46">
    <w:name w:val="font21"/>
    <w:autoRedefine/>
    <w:qFormat/>
    <w:uiPriority w:val="0"/>
    <w:rPr>
      <w:rFonts w:hint="eastAsia" w:ascii="宋体" w:hAnsi="宋体" w:eastAsia="宋体" w:cs="宋体"/>
      <w:color w:val="000000"/>
      <w:sz w:val="20"/>
      <w:szCs w:val="20"/>
      <w:u w:val="none"/>
    </w:rPr>
  </w:style>
  <w:style w:type="character" w:customStyle="1" w:styleId="47">
    <w:name w:val="font81"/>
    <w:basedOn w:val="22"/>
    <w:autoRedefine/>
    <w:qFormat/>
    <w:uiPriority w:val="0"/>
    <w:rPr>
      <w:rFonts w:hint="eastAsia" w:ascii="宋体" w:hAnsi="宋体" w:eastAsia="宋体" w:cs="宋体"/>
      <w:b/>
      <w:color w:val="000000"/>
      <w:sz w:val="22"/>
      <w:szCs w:val="22"/>
      <w:u w:val="none"/>
    </w:rPr>
  </w:style>
  <w:style w:type="character" w:customStyle="1" w:styleId="48">
    <w:name w:val="日期 字符"/>
    <w:basedOn w:val="22"/>
    <w:link w:val="11"/>
    <w:autoRedefine/>
    <w:semiHidden/>
    <w:qFormat/>
    <w:uiPriority w:val="99"/>
    <w:rPr>
      <w:kern w:val="2"/>
      <w:sz w:val="21"/>
      <w:szCs w:val="22"/>
    </w:rPr>
  </w:style>
  <w:style w:type="character" w:customStyle="1" w:styleId="49">
    <w:name w:val="批注主题 字符"/>
    <w:basedOn w:val="34"/>
    <w:link w:val="18"/>
    <w:autoRedefine/>
    <w:semiHidden/>
    <w:qFormat/>
    <w:uiPriority w:val="99"/>
    <w:rPr>
      <w:b/>
      <w:bCs/>
      <w:kern w:val="2"/>
      <w:sz w:val="21"/>
      <w:szCs w:val="22"/>
    </w:rPr>
  </w:style>
  <w:style w:type="paragraph" w:customStyle="1" w:styleId="50">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1">
    <w:name w:val="批注框文本 字符"/>
    <w:basedOn w:val="22"/>
    <w:link w:val="13"/>
    <w:autoRedefine/>
    <w:semiHidden/>
    <w:qFormat/>
    <w:uiPriority w:val="99"/>
    <w:rPr>
      <w:kern w:val="2"/>
      <w:sz w:val="18"/>
      <w:szCs w:val="18"/>
    </w:rPr>
  </w:style>
  <w:style w:type="character" w:customStyle="1" w:styleId="52">
    <w:name w:val="font11"/>
    <w:basedOn w:val="22"/>
    <w:autoRedefine/>
    <w:qFormat/>
    <w:uiPriority w:val="0"/>
    <w:rPr>
      <w:rFonts w:hint="eastAsia" w:ascii="宋体" w:hAnsi="宋体" w:eastAsia="宋体" w:cs="宋体"/>
      <w:color w:val="000000"/>
      <w:sz w:val="21"/>
      <w:szCs w:val="21"/>
      <w:u w:val="none"/>
    </w:rPr>
  </w:style>
  <w:style w:type="paragraph" w:styleId="53">
    <w:name w:val="No Spacing"/>
    <w:basedOn w:val="1"/>
    <w:next w:val="1"/>
    <w:autoRedefine/>
    <w:unhideWhenUsed/>
    <w:qFormat/>
    <w:uiPriority w:val="0"/>
    <w:rPr>
      <w:rFonts w:ascii="Calibri" w:hAnsi="Calibri"/>
    </w:rPr>
  </w:style>
  <w:style w:type="paragraph" w:customStyle="1" w:styleId="54">
    <w:name w:val="正文首行缩进两字符"/>
    <w:basedOn w:val="1"/>
    <w:autoRedefine/>
    <w:qFormat/>
    <w:uiPriority w:val="0"/>
    <w:pPr>
      <w:spacing w:line="360" w:lineRule="auto"/>
      <w:ind w:firstLine="200" w:firstLineChars="200"/>
    </w:pPr>
    <w:rPr>
      <w:rFonts w:ascii="Times New Roman"/>
    </w:rPr>
  </w:style>
  <w:style w:type="paragraph" w:styleId="55">
    <w:name w:val="List Paragraph"/>
    <w:basedOn w:val="1"/>
    <w:autoRedefine/>
    <w:unhideWhenUsed/>
    <w:qFormat/>
    <w:uiPriority w:val="99"/>
    <w:pPr>
      <w:ind w:firstLine="420" w:firstLineChars="200"/>
    </w:pPr>
  </w:style>
  <w:style w:type="paragraph" w:customStyle="1" w:styleId="56">
    <w:name w:val="正文2"/>
    <w:basedOn w:val="9"/>
    <w:autoRedefine/>
    <w:qFormat/>
    <w:uiPriority w:val="0"/>
    <w:pPr>
      <w:spacing w:line="480" w:lineRule="exact"/>
      <w:ind w:firstLine="480" w:firstLineChars="200"/>
    </w:pPr>
    <w:rPr>
      <w:rFonts w:hAnsi="宋体" w:eastAsia="宋体"/>
      <w:bCs/>
      <w:sz w:val="24"/>
      <w:lang w:val="zh-CN"/>
    </w:rPr>
  </w:style>
  <w:style w:type="paragraph" w:customStyle="1" w:styleId="57">
    <w:name w:val="reader-word-layer"/>
    <w:basedOn w:val="1"/>
    <w:autoRedefine/>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C305F8-8BF9-41DE-B508-B392D0DF8401}">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34</Pages>
  <Words>2609</Words>
  <Characters>14872</Characters>
  <Lines>123</Lines>
  <Paragraphs>34</Paragraphs>
  <TotalTime>309</TotalTime>
  <ScaleCrop>false</ScaleCrop>
  <LinksUpToDate>false</LinksUpToDate>
  <CharactersWithSpaces>17447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2024-01-29T03:05:00Z</dcterms:created>
  <dc:creator>wang mingfu</dc:creator>
  <cp:lastModifiedBy>Administrator</cp:lastModifiedBy>
  <cp:lastPrinted>2024-03-13T00:58:00Z</cp:lastPrinted>
  <dcterms:modified xsi:type="dcterms:W3CDTF">2024-03-19T02:04:51Z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AE07B7CF213B42F7ADF7ACDBFE87C394_13</vt:lpwstr>
  </property>
</Properties>
</file>