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7</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3"/>
        <w:rPr>
          <w:lang w:val="zh-CN"/>
        </w:rPr>
      </w:pPr>
      <w:r>
        <w:rPr>
          <w:lang w:val="zh-CN"/>
        </w:rPr>
        <w:br w:type="page"/>
      </w:r>
    </w:p>
    <w:p>
      <w:pPr>
        <w:pStyle w:val="3"/>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四川铁道职业学院拟对7、8号公寓寝室窗帘采购项目进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rPr>
        <w:t>7、8号公寓寝室窗帘采购项目</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2023009</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w:t>
      </w:r>
      <w:bookmarkStart w:id="62" w:name="_GoBack"/>
      <w:bookmarkEnd w:id="62"/>
      <w:r>
        <w:rPr>
          <w:rFonts w:hint="eastAsia" w:ascii="宋体" w:hAnsi="宋体" w:eastAsia="宋体" w:cs="Times New Roman"/>
          <w:sz w:val="24"/>
          <w:szCs w:val="24"/>
        </w:rPr>
        <w:t>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7</w:t>
      </w:r>
      <w:r>
        <w:rPr>
          <w:rFonts w:ascii="宋体" w:hAnsi="宋体" w:eastAsia="宋体" w:cs="Times New Roman"/>
          <w:sz w:val="24"/>
          <w:szCs w:val="24"/>
        </w:rPr>
        <w:t>月</w:t>
      </w:r>
      <w:r>
        <w:rPr>
          <w:rFonts w:hint="eastAsia" w:ascii="宋体" w:hAnsi="宋体" w:eastAsia="宋体" w:cs="Times New Roman"/>
          <w:sz w:val="24"/>
          <w:szCs w:val="24"/>
          <w:lang w:val="en-US" w:eastAsia="zh-CN"/>
        </w:rPr>
        <w:t>19</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1.比选申请文件应在参加比选时间前送达比选地到的文件将被拒收。</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5"/>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人：贺老师、李老师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18147"/>
      <w:bookmarkStart w:id="3" w:name="_Toc2367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5</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5</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cs="Times New Roman"/>
                <w:sz w:val="22"/>
                <w:szCs w:val="22"/>
                <w:lang w:val="zh-CN"/>
              </w:rPr>
              <w:t>不正当竞争预防措施</w:t>
            </w:r>
          </w:p>
          <w:p>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rPr>
            </w:pPr>
            <w:r>
              <w:rPr>
                <w:rFonts w:hint="eastAsia" w:cs="Times New Roman"/>
                <w:sz w:val="22"/>
                <w:szCs w:val="22"/>
              </w:rPr>
              <w:t>信用记录查询</w:t>
            </w:r>
          </w:p>
          <w:p>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合同分包</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联合体</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7"/>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183582216"/>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217446055"/>
      <w:bookmarkStart w:id="14" w:name="_Toc18368236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209847069"/>
      <w:bookmarkStart w:id="17" w:name="_Toc101338364"/>
      <w:bookmarkStart w:id="18" w:name="_Toc430773927"/>
      <w:bookmarkStart w:id="19" w:name="_Toc101174151"/>
      <w:bookmarkStart w:id="20" w:name="_Toc101250646"/>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480" w:firstLineChars="200"/>
        <w:jc w:val="left"/>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70" w:firstLineChars="196"/>
        <w:rPr>
          <w:rFonts w:ascii="宋体" w:hAnsi="宋体" w:eastAsia="宋体"/>
          <w:sz w:val="24"/>
          <w:szCs w:val="24"/>
          <w:lang w:val="zh-CN"/>
        </w:rPr>
      </w:pPr>
      <w:r>
        <w:rPr>
          <w:rFonts w:hint="eastAsia" w:ascii="宋体" w:hAnsi="宋体" w:eastAsia="宋体"/>
          <w:sz w:val="24"/>
          <w:szCs w:val="24"/>
          <w:lang w:val="zh-CN"/>
        </w:rPr>
        <w:t>1.项目名称：四川铁道职业学院7、8号公寓寝室窗帘采购及安装</w:t>
      </w:r>
    </w:p>
    <w:p>
      <w:pPr>
        <w:spacing w:line="360" w:lineRule="auto"/>
        <w:ind w:firstLine="470" w:firstLineChars="196"/>
        <w:rPr>
          <w:rFonts w:ascii="宋体" w:hAnsi="宋体" w:eastAsia="宋体"/>
          <w:sz w:val="24"/>
          <w:szCs w:val="24"/>
          <w:lang w:val="zh-CN"/>
        </w:rPr>
      </w:pPr>
      <w:r>
        <w:rPr>
          <w:rFonts w:hint="eastAsia" w:ascii="宋体" w:hAnsi="宋体" w:eastAsia="宋体"/>
          <w:sz w:val="24"/>
          <w:szCs w:val="24"/>
          <w:lang w:val="zh-CN"/>
        </w:rPr>
        <w:t>2.项目地点：成都市郫都区安德街道彭温路399号</w:t>
      </w:r>
    </w:p>
    <w:p>
      <w:pPr>
        <w:spacing w:line="360" w:lineRule="auto"/>
        <w:ind w:firstLine="470" w:firstLineChars="196"/>
        <w:rPr>
          <w:rFonts w:ascii="宋体" w:hAnsi="宋体" w:eastAsia="宋体"/>
          <w:sz w:val="24"/>
          <w:szCs w:val="24"/>
          <w:lang w:val="zh-CN"/>
        </w:rPr>
      </w:pPr>
      <w:r>
        <w:rPr>
          <w:rFonts w:hint="eastAsia" w:ascii="宋体" w:hAnsi="宋体" w:eastAsia="宋体"/>
          <w:sz w:val="24"/>
          <w:szCs w:val="24"/>
          <w:lang w:val="zh-CN"/>
        </w:rPr>
        <w:t>3.服务范围：学校7、8号公寓 262间寝室的窗帘采购及安装（含滑轨）。</w:t>
      </w:r>
    </w:p>
    <w:p>
      <w:pPr>
        <w:numPr>
          <w:ilvl w:val="0"/>
          <w:numId w:val="2"/>
        </w:numPr>
        <w:snapToGrid w:val="0"/>
        <w:spacing w:line="560" w:lineRule="exact"/>
        <w:ind w:firstLine="562" w:firstLineChars="200"/>
        <w:textAlignment w:val="baseline"/>
        <w:outlineLvl w:val="1"/>
        <w:rPr>
          <w:lang w:val="zh-CN"/>
        </w:rPr>
      </w:pPr>
      <w:r>
        <w:rPr>
          <w:rFonts w:hint="eastAsia" w:ascii="宋体" w:hAnsi="宋体" w:eastAsia="宋体" w:cs="仿宋"/>
          <w:b/>
          <w:bCs/>
          <w:sz w:val="28"/>
          <w:szCs w:val="24"/>
          <w:lang w:val="zh-CN"/>
        </w:rPr>
        <w:t>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r>
        <w:rPr>
          <w:rFonts w:hint="eastAsia" w:ascii="宋体" w:hAnsi="宋体" w:eastAsia="宋体" w:cs="仿宋"/>
          <w:b/>
          <w:bCs/>
          <w:sz w:val="28"/>
          <w:szCs w:val="24"/>
        </w:rPr>
        <w:t xml:space="preserve"> </w:t>
      </w:r>
    </w:p>
    <w:tbl>
      <w:tblPr>
        <w:tblStyle w:val="18"/>
        <w:tblW w:w="8475" w:type="dxa"/>
        <w:tblInd w:w="260" w:type="dxa"/>
        <w:tblLayout w:type="fixed"/>
        <w:tblCellMar>
          <w:top w:w="0" w:type="dxa"/>
          <w:left w:w="108" w:type="dxa"/>
          <w:bottom w:w="0" w:type="dxa"/>
          <w:right w:w="108" w:type="dxa"/>
        </w:tblCellMar>
      </w:tblPr>
      <w:tblGrid>
        <w:gridCol w:w="1757"/>
        <w:gridCol w:w="4223"/>
        <w:gridCol w:w="1240"/>
        <w:gridCol w:w="1255"/>
      </w:tblGrid>
      <w:tr>
        <w:tblPrEx>
          <w:tblCellMar>
            <w:top w:w="0" w:type="dxa"/>
            <w:left w:w="108" w:type="dxa"/>
            <w:bottom w:w="0" w:type="dxa"/>
            <w:right w:w="108" w:type="dxa"/>
          </w:tblCellMar>
        </w:tblPrEx>
        <w:trPr>
          <w:trHeight w:val="300" w:hRule="atLeast"/>
        </w:trPr>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项目名称</w:t>
            </w:r>
          </w:p>
        </w:tc>
        <w:tc>
          <w:tcPr>
            <w:tcW w:w="4223"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技术参数</w:t>
            </w:r>
          </w:p>
        </w:tc>
        <w:tc>
          <w:tcPr>
            <w:tcW w:w="12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数量</w:t>
            </w:r>
          </w:p>
        </w:tc>
        <w:tc>
          <w:tcPr>
            <w:tcW w:w="125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单位</w:t>
            </w:r>
          </w:p>
        </w:tc>
      </w:tr>
      <w:tr>
        <w:tblPrEx>
          <w:tblCellMar>
            <w:top w:w="0" w:type="dxa"/>
            <w:left w:w="108" w:type="dxa"/>
            <w:bottom w:w="0" w:type="dxa"/>
            <w:right w:w="108" w:type="dxa"/>
          </w:tblCellMar>
        </w:tblPrEx>
        <w:trPr>
          <w:trHeight w:val="570" w:hRule="atLeast"/>
        </w:trPr>
        <w:tc>
          <w:tcPr>
            <w:tcW w:w="175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项目一：窗帘</w:t>
            </w: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1.尺寸：高2.5m，宽1.5米，窗帘成品比例为1:2效果。</w:t>
            </w:r>
          </w:p>
        </w:tc>
        <w:tc>
          <w:tcPr>
            <w:tcW w:w="1240" w:type="dxa"/>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250</w:t>
            </w:r>
          </w:p>
        </w:tc>
        <w:tc>
          <w:tcPr>
            <w:tcW w:w="12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幅</w:t>
            </w: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2.成分100%聚酯纤维；</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3.厚度：1.27mm±0.05mm；</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142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*4.阻燃性能：符合GB8624-2012中B1级以上要求；燃烧性能a：损毁长度，径向：≤150mm；纬向：≤150mm；燃烧性能b:续燃时间，径向：≤5s;；纬向≤5；</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570"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 燃烧性能c：阻燃时间，径向：≤5s；纬向≤5s；</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*6. 甲醛含量：≤300；</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570"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*7. 可分解致癌芳香胺燃料A20：禁用；</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*8. PH值：4.0-9.0；</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*9. 耐洗色牢度：变色4；沾色3-4；</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*10. 耐光色牢度：变色5；</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570"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*11. 水洗尺寸变化率：径向，+3.0～ -4.0；横向，+3.0～ -4.0；</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*12. 防紫外线性能UPF值：＞40；</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*13. 遮光率：95%；</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*14. 隔音：30dB-40dB；</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870"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single" w:color="auto" w:sz="8" w:space="0"/>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w:t>
            </w:r>
            <w:r>
              <w:rPr>
                <w:rFonts w:hint="eastAsia" w:ascii="仿宋" w:hAnsi="仿宋" w:eastAsia="仿宋" w:cs="宋体"/>
                <w:b/>
                <w:bCs/>
                <w:color w:val="000000"/>
                <w:kern w:val="0"/>
                <w:sz w:val="24"/>
              </w:rPr>
              <w:t xml:space="preserve"> 4-14条参数需提供符合CMA国家准许的第三方检测机构出具的检测报告复印件加盖公章。</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570" w:hRule="atLeast"/>
        </w:trPr>
        <w:tc>
          <w:tcPr>
            <w:tcW w:w="175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项目二：窗帘</w:t>
            </w: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1.尺寸：高2.7m，宽2.5米，窗帘成品比例为1:2效果。</w:t>
            </w:r>
          </w:p>
        </w:tc>
        <w:tc>
          <w:tcPr>
            <w:tcW w:w="1240" w:type="dxa"/>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12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幅</w:t>
            </w: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2.成分100%聚酯纤维；</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3.厚度：1.27mm±0.05mm；</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142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*4.阻燃性能：符合GB8624-2012中B1级以上要求；燃烧性能a：损毁长度，径向：≤150mm；纬向：≤150mm；燃烧性能b:续燃时间，径向：≤5s;；纬向≤5；</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570"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 燃烧性能c：阻燃时间，径向：≤5s；纬向≤5s；</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*6. 甲醛含量：≤300；</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570"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*7. 可分解致癌芳香胺燃料A20：禁用；</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*8. PH值：4.0-9.0；</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*9. 耐洗色牢度：变色4；沾色3-4；</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*10. 耐光色牢度：变色5；</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570"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*11. 水洗尺寸变化率：径向，+3.0～ -4.0；横向，+3.0～ -4.0；</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*12. 防紫外线性能UPF值：＞40；</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*13. 遮光率：95%；</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*14. 隔音：30dB-40dB；</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870"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single" w:color="auto" w:sz="8" w:space="0"/>
              <w:right w:val="single" w:color="000000" w:sz="8" w:space="0"/>
            </w:tcBorders>
            <w:shd w:val="clear" w:color="auto" w:fill="auto"/>
            <w:vAlign w:val="center"/>
          </w:tcPr>
          <w:p>
            <w:pPr>
              <w:widowControl/>
              <w:jc w:val="left"/>
              <w:rPr>
                <w:rFonts w:ascii="仿宋" w:hAnsi="仿宋" w:eastAsia="仿宋" w:cs="宋体"/>
                <w:b/>
                <w:bCs/>
                <w:color w:val="000000"/>
                <w:kern w:val="0"/>
                <w:sz w:val="24"/>
              </w:rPr>
            </w:pPr>
            <w:r>
              <w:rPr>
                <w:rFonts w:hint="eastAsia" w:ascii="仿宋" w:hAnsi="仿宋" w:eastAsia="仿宋" w:cs="宋体"/>
                <w:b/>
                <w:bCs/>
                <w:color w:val="000000"/>
                <w:kern w:val="0"/>
                <w:sz w:val="24"/>
              </w:rPr>
              <w:t xml:space="preserve">   4-14条参数需提供符合CMA国家准许的第三方检测机构出具的检测报告复印件加盖公章。</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285" w:hRule="atLeast"/>
        </w:trPr>
        <w:tc>
          <w:tcPr>
            <w:tcW w:w="175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项目三：滑轨</w:t>
            </w: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1.长1.</w:t>
            </w:r>
            <w:r>
              <w:rPr>
                <w:rFonts w:ascii="仿宋" w:hAnsi="仿宋" w:eastAsia="仿宋" w:cs="宋体"/>
                <w:color w:val="000000"/>
                <w:kern w:val="0"/>
                <w:sz w:val="24"/>
              </w:rPr>
              <w:t>6</w:t>
            </w:r>
            <w:r>
              <w:rPr>
                <w:rFonts w:hint="eastAsia" w:ascii="仿宋" w:hAnsi="仿宋" w:eastAsia="仿宋" w:cs="宋体"/>
                <w:color w:val="000000"/>
                <w:kern w:val="0"/>
                <w:sz w:val="24"/>
              </w:rPr>
              <w:t>m的滑轨250根；</w:t>
            </w:r>
          </w:p>
        </w:tc>
        <w:tc>
          <w:tcPr>
            <w:tcW w:w="1240" w:type="dxa"/>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ascii="仿宋" w:hAnsi="仿宋" w:eastAsia="仿宋" w:cs="宋体"/>
                <w:color w:val="000000"/>
                <w:kern w:val="0"/>
                <w:sz w:val="24"/>
              </w:rPr>
              <w:t>431.2</w:t>
            </w:r>
          </w:p>
        </w:tc>
        <w:tc>
          <w:tcPr>
            <w:tcW w:w="125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m</w:t>
            </w:r>
          </w:p>
        </w:tc>
      </w:tr>
      <w:tr>
        <w:tblPrEx>
          <w:tblCellMar>
            <w:top w:w="0" w:type="dxa"/>
            <w:left w:w="108" w:type="dxa"/>
            <w:bottom w:w="0" w:type="dxa"/>
            <w:right w:w="108" w:type="dxa"/>
          </w:tblCellMar>
        </w:tblPrEx>
        <w:trPr>
          <w:trHeight w:val="285"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nil"/>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2.长2.6m的滑轨12根；</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870" w:hRule="atLeast"/>
        </w:trPr>
        <w:tc>
          <w:tcPr>
            <w:tcW w:w="175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223" w:type="dxa"/>
            <w:tcBorders>
              <w:top w:val="nil"/>
              <w:left w:val="nil"/>
              <w:bottom w:val="single" w:color="auto" w:sz="8" w:space="0"/>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3.轨道采用欧式方轨，壁厚大于等于1.0mm，重量300g以上/m，表面经电泳处理，吊轮滑动顺畅自如。</w:t>
            </w:r>
          </w:p>
        </w:tc>
        <w:tc>
          <w:tcPr>
            <w:tcW w:w="1240" w:type="dxa"/>
            <w:vMerge w:val="continue"/>
            <w:tcBorders>
              <w:top w:val="nil"/>
              <w:left w:val="single" w:color="000000"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c>
          <w:tcPr>
            <w:tcW w:w="1255"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585" w:hRule="atLeast"/>
        </w:trPr>
        <w:tc>
          <w:tcPr>
            <w:tcW w:w="1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项目四：布带</w:t>
            </w:r>
          </w:p>
        </w:tc>
        <w:tc>
          <w:tcPr>
            <w:tcW w:w="4223" w:type="dxa"/>
            <w:tcBorders>
              <w:top w:val="nil"/>
              <w:left w:val="nil"/>
              <w:bottom w:val="single" w:color="auto" w:sz="8" w:space="0"/>
              <w:right w:val="single" w:color="000000" w:sz="8"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1.布带采用80g无仿布芯带，洗涤后不缩水、不变形。</w:t>
            </w:r>
          </w:p>
        </w:tc>
        <w:tc>
          <w:tcPr>
            <w:tcW w:w="12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262</w:t>
            </w:r>
          </w:p>
        </w:tc>
        <w:tc>
          <w:tcPr>
            <w:tcW w:w="1255"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条</w:t>
            </w:r>
          </w:p>
        </w:tc>
      </w:tr>
    </w:tbl>
    <w:p>
      <w:pPr>
        <w:snapToGrid w:val="0"/>
        <w:spacing w:line="560" w:lineRule="exact"/>
        <w:ind w:firstLine="240" w:firstLineChars="100"/>
        <w:textAlignment w:val="baseline"/>
        <w:outlineLvl w:val="1"/>
        <w:rPr>
          <w:rFonts w:hint="eastAsia" w:ascii="宋体" w:hAnsi="宋体" w:eastAsia="宋体"/>
          <w:sz w:val="24"/>
          <w:szCs w:val="24"/>
        </w:rPr>
      </w:pPr>
    </w:p>
    <w:p>
      <w:pPr>
        <w:snapToGrid w:val="0"/>
        <w:spacing w:line="560" w:lineRule="exact"/>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三、服务要求</w:t>
      </w:r>
    </w:p>
    <w:p>
      <w:pPr>
        <w:pStyle w:val="2"/>
        <w:numPr>
          <w:ilvl w:val="0"/>
          <w:numId w:val="6"/>
        </w:numPr>
        <w:snapToGrid w:val="0"/>
        <w:spacing w:before="0" w:after="0" w:line="400" w:lineRule="exact"/>
        <w:rPr>
          <w:rFonts w:ascii="仿宋" w:hAnsi="仿宋"/>
        </w:rPr>
      </w:pPr>
      <w:r>
        <w:rPr>
          <w:rFonts w:hint="eastAsia" w:ascii="仿宋" w:hAnsi="仿宋"/>
        </w:rPr>
        <w:t>包装、运输、保管</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由中标人负责按国家相关标准进行货物包装且包装必须为制造商原厂包装，设备的包装均应有良好的防湿、防锈、防潮、防雨、防腐及防碰撞的措施。凡由于包装不良造成的损失和由此产生的费用均由中标人承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2.中标人负责将设备材料运到现场过程中全部运输，包括装卸车、货物现场的卸货（由采购人指定卸货地点）等费用计入投标报价。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3.设备在安装验收合格移交前由中标人保管。</w:t>
      </w:r>
    </w:p>
    <w:p>
      <w:pPr>
        <w:pStyle w:val="2"/>
        <w:numPr>
          <w:ilvl w:val="0"/>
          <w:numId w:val="6"/>
        </w:numPr>
        <w:snapToGrid w:val="0"/>
        <w:spacing w:before="0" w:after="0" w:line="400" w:lineRule="exact"/>
        <w:rPr>
          <w:rFonts w:ascii="仿宋" w:hAnsi="仿宋"/>
        </w:rPr>
      </w:pPr>
      <w:bookmarkStart w:id="27" w:name="_Toc98647883"/>
      <w:bookmarkStart w:id="28" w:name="_Toc245110138"/>
      <w:bookmarkStart w:id="29" w:name="_Toc203886319"/>
      <w:bookmarkStart w:id="30" w:name="_Toc217983582"/>
      <w:bookmarkStart w:id="31" w:name="_Toc98175182"/>
      <w:bookmarkStart w:id="32" w:name="_Toc217983860"/>
      <w:r>
        <w:rPr>
          <w:rFonts w:hint="eastAsia" w:ascii="仿宋" w:hAnsi="仿宋"/>
        </w:rPr>
        <w:t>安装调试</w:t>
      </w:r>
      <w:bookmarkEnd w:id="27"/>
      <w:bookmarkEnd w:id="28"/>
      <w:bookmarkEnd w:id="29"/>
      <w:bookmarkEnd w:id="30"/>
      <w:bookmarkEnd w:id="31"/>
      <w:bookmarkEnd w:id="32"/>
    </w:p>
    <w:p>
      <w:pPr>
        <w:spacing w:line="360" w:lineRule="auto"/>
        <w:ind w:firstLine="470" w:firstLineChars="196"/>
        <w:rPr>
          <w:rFonts w:ascii="宋体" w:hAnsi="宋体" w:eastAsia="宋体"/>
          <w:sz w:val="24"/>
          <w:szCs w:val="24"/>
        </w:rPr>
      </w:pPr>
      <w:r>
        <w:rPr>
          <w:rFonts w:hint="eastAsia" w:ascii="宋体" w:hAnsi="宋体" w:eastAsia="宋体"/>
          <w:sz w:val="24"/>
          <w:szCs w:val="24"/>
        </w:rPr>
        <w:t>1.中标人负责本项目的安装和调试。安装所需工具设施物料由中标人自备、自费运到现场，完工后自行搬走。</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2.调试：按国家相关施工验收规范进行，分阶段进行调试。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3.响应投标文件中给出的具体安装方法，在实际实施前必须先经采购人同意方可进行。</w:t>
      </w:r>
      <w:bookmarkStart w:id="33" w:name="_Toc203886320"/>
      <w:bookmarkStart w:id="34" w:name="_Toc98175183"/>
      <w:bookmarkStart w:id="35" w:name="_Toc217983583"/>
      <w:bookmarkStart w:id="36" w:name="_Toc245110139"/>
      <w:bookmarkStart w:id="37" w:name="_Toc217983861"/>
      <w:bookmarkStart w:id="38" w:name="_Toc98647884"/>
    </w:p>
    <w:p>
      <w:pPr>
        <w:pStyle w:val="2"/>
        <w:numPr>
          <w:ilvl w:val="0"/>
          <w:numId w:val="6"/>
        </w:numPr>
        <w:snapToGrid w:val="0"/>
        <w:spacing w:before="0" w:after="0" w:line="400" w:lineRule="exact"/>
        <w:rPr>
          <w:rFonts w:ascii="仿宋" w:hAnsi="仿宋"/>
        </w:rPr>
      </w:pPr>
      <w:r>
        <w:rPr>
          <w:rFonts w:hint="eastAsia" w:ascii="仿宋" w:hAnsi="仿宋"/>
        </w:rPr>
        <w:t>验收</w:t>
      </w:r>
      <w:bookmarkEnd w:id="33"/>
      <w:bookmarkEnd w:id="34"/>
      <w:bookmarkEnd w:id="35"/>
      <w:bookmarkEnd w:id="36"/>
      <w:bookmarkEnd w:id="37"/>
      <w:bookmarkEnd w:id="38"/>
    </w:p>
    <w:p>
      <w:pPr>
        <w:spacing w:line="360" w:lineRule="auto"/>
        <w:ind w:firstLine="470" w:firstLineChars="196"/>
        <w:rPr>
          <w:rFonts w:ascii="宋体" w:hAnsi="宋体" w:eastAsia="宋体"/>
          <w:sz w:val="24"/>
          <w:szCs w:val="24"/>
        </w:rPr>
      </w:pPr>
      <w:r>
        <w:rPr>
          <w:rFonts w:hint="eastAsia" w:ascii="宋体" w:hAnsi="宋体" w:eastAsia="宋体"/>
          <w:sz w:val="24"/>
          <w:szCs w:val="24"/>
        </w:rPr>
        <w:t>1.投标人应给出详细的验收方案，包括验收项目、验收标准，验收实施办法等。</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2.安装工程开始前，中标人按照采购人的书面通知，共同开箱检验，主要检验窗帘的外观质量及数量。</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3.验收由采购人与中标人及相关人员依国家有关标准要求进行。</w:t>
      </w:r>
    </w:p>
    <w:p>
      <w:pPr>
        <w:pStyle w:val="2"/>
        <w:numPr>
          <w:ilvl w:val="0"/>
          <w:numId w:val="6"/>
        </w:numPr>
        <w:snapToGrid w:val="0"/>
        <w:spacing w:before="0" w:after="0" w:line="400" w:lineRule="exact"/>
        <w:rPr>
          <w:rFonts w:ascii="仿宋" w:hAnsi="仿宋"/>
        </w:rPr>
      </w:pPr>
      <w:bookmarkStart w:id="39" w:name="_Toc217983863"/>
      <w:bookmarkStart w:id="40" w:name="_Toc98175185"/>
      <w:bookmarkStart w:id="41" w:name="_Toc245110141"/>
      <w:bookmarkStart w:id="42" w:name="_Toc217983585"/>
      <w:bookmarkStart w:id="43" w:name="_Toc98647886"/>
      <w:bookmarkStart w:id="44" w:name="_Toc203886322"/>
      <w:r>
        <w:rPr>
          <w:rFonts w:hint="eastAsia" w:ascii="仿宋" w:hAnsi="仿宋"/>
        </w:rPr>
        <w:t>质量保证及售后服务</w:t>
      </w:r>
      <w:bookmarkEnd w:id="39"/>
      <w:bookmarkEnd w:id="40"/>
      <w:bookmarkEnd w:id="41"/>
      <w:bookmarkEnd w:id="42"/>
      <w:bookmarkEnd w:id="43"/>
      <w:bookmarkEnd w:id="44"/>
      <w:bookmarkStart w:id="45" w:name="_Toc98175186"/>
      <w:bookmarkStart w:id="46" w:name="_Toc98647887"/>
    </w:p>
    <w:p>
      <w:pPr>
        <w:spacing w:line="360" w:lineRule="auto"/>
        <w:ind w:firstLine="470" w:firstLineChars="196"/>
        <w:rPr>
          <w:rFonts w:ascii="宋体" w:hAnsi="宋体" w:eastAsia="宋体"/>
          <w:sz w:val="24"/>
          <w:szCs w:val="24"/>
        </w:rPr>
      </w:pPr>
      <w:r>
        <w:rPr>
          <w:rFonts w:hint="eastAsia" w:ascii="宋体" w:hAnsi="宋体" w:eastAsia="宋体"/>
          <w:sz w:val="24"/>
          <w:szCs w:val="24"/>
        </w:rPr>
        <w:t>1. 质保期：窗帘安装竣工验收合格后一年。</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 中标人有电话服务热线，保证在接到电话后工作日24小时内上门解决问题。</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 提供安装使用维护说明和一定数量的必要的备品备件。</w:t>
      </w:r>
      <w:bookmarkEnd w:id="45"/>
      <w:bookmarkEnd w:id="46"/>
    </w:p>
    <w:p>
      <w:pPr>
        <w:pStyle w:val="2"/>
        <w:numPr>
          <w:ilvl w:val="0"/>
          <w:numId w:val="6"/>
        </w:numPr>
        <w:snapToGrid w:val="0"/>
        <w:spacing w:before="0" w:after="0" w:line="400" w:lineRule="exact"/>
        <w:rPr>
          <w:rFonts w:ascii="仿宋" w:hAnsi="仿宋"/>
        </w:rPr>
      </w:pPr>
      <w:bookmarkStart w:id="47" w:name="_Toc217983587"/>
      <w:bookmarkStart w:id="48" w:name="_Toc217983865"/>
      <w:bookmarkStart w:id="49" w:name="_Toc203886324"/>
      <w:bookmarkStart w:id="50" w:name="_Toc98647888"/>
      <w:bookmarkStart w:id="51" w:name="_Toc98175187"/>
      <w:bookmarkStart w:id="52" w:name="_Toc245110143"/>
      <w:r>
        <w:rPr>
          <w:rFonts w:hint="eastAsia" w:ascii="仿宋" w:hAnsi="仿宋"/>
        </w:rPr>
        <w:t>采购人配合条件</w:t>
      </w:r>
      <w:bookmarkEnd w:id="47"/>
      <w:bookmarkEnd w:id="48"/>
      <w:bookmarkEnd w:id="49"/>
      <w:bookmarkEnd w:id="50"/>
      <w:bookmarkEnd w:id="51"/>
      <w:bookmarkEnd w:id="52"/>
    </w:p>
    <w:p>
      <w:pPr>
        <w:spacing w:line="360" w:lineRule="auto"/>
        <w:ind w:firstLine="470" w:firstLineChars="196"/>
        <w:rPr>
          <w:rFonts w:ascii="宋体" w:hAnsi="宋体" w:eastAsia="宋体"/>
          <w:sz w:val="24"/>
          <w:szCs w:val="24"/>
        </w:rPr>
      </w:pPr>
      <w:r>
        <w:rPr>
          <w:rFonts w:hint="eastAsia" w:ascii="宋体" w:hAnsi="宋体" w:eastAsia="宋体"/>
          <w:sz w:val="24"/>
          <w:szCs w:val="24"/>
        </w:rPr>
        <w:t>1.在合同履行过程中，采购人将提供必要的配合及协调，如根据合同规定及时付款、及时签署有关确认证书、与中标人一起确认进场安装条件、提供安装调试所需的相关工作条件。</w:t>
      </w:r>
    </w:p>
    <w:p>
      <w:pPr>
        <w:spacing w:line="360" w:lineRule="auto"/>
        <w:ind w:firstLine="470" w:firstLineChars="196"/>
        <w:rPr>
          <w:rFonts w:ascii="宋体" w:hAnsi="宋体" w:eastAsia="宋体"/>
          <w:sz w:val="24"/>
          <w:szCs w:val="24"/>
          <w:lang w:val="zh-CN"/>
        </w:rPr>
      </w:pPr>
      <w:r>
        <w:rPr>
          <w:rFonts w:hint="eastAsia" w:ascii="宋体" w:hAnsi="宋体" w:eastAsia="宋体"/>
          <w:sz w:val="24"/>
          <w:szCs w:val="24"/>
        </w:rPr>
        <w:t>2.中标人所需的水电费用由采购人承担。</w:t>
      </w:r>
    </w:p>
    <w:p>
      <w:pPr>
        <w:numPr>
          <w:ilvl w:val="0"/>
          <w:numId w:val="2"/>
        </w:numPr>
        <w:snapToGrid w:val="0"/>
        <w:spacing w:line="560" w:lineRule="exact"/>
        <w:ind w:firstLine="562" w:firstLineChars="2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商务要求（实质性要求）</w:t>
      </w:r>
    </w:p>
    <w:tbl>
      <w:tblPr>
        <w:tblStyle w:val="18"/>
        <w:tblpPr w:leftFromText="180" w:rightFromText="180" w:vertAnchor="text" w:horzAnchor="page" w:tblpX="1447" w:tblpY="617"/>
        <w:tblOverlap w:val="never"/>
        <w:tblW w:w="508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29"/>
        <w:gridCol w:w="1706"/>
        <w:gridCol w:w="69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9" w:type="pct"/>
            <w:vAlign w:val="center"/>
          </w:tcPr>
          <w:p>
            <w:pPr>
              <w:pStyle w:val="37"/>
              <w:spacing w:line="300" w:lineRule="auto"/>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序号</w:t>
            </w:r>
          </w:p>
        </w:tc>
        <w:tc>
          <w:tcPr>
            <w:tcW w:w="933" w:type="pct"/>
            <w:vAlign w:val="center"/>
          </w:tcPr>
          <w:p>
            <w:pPr>
              <w:pStyle w:val="37"/>
              <w:spacing w:line="300" w:lineRule="auto"/>
              <w:ind w:firstLine="442"/>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内容</w:t>
            </w:r>
          </w:p>
        </w:tc>
        <w:tc>
          <w:tcPr>
            <w:tcW w:w="3777" w:type="pct"/>
            <w:vAlign w:val="center"/>
          </w:tcPr>
          <w:p>
            <w:pPr>
              <w:pStyle w:val="37"/>
              <w:spacing w:line="300" w:lineRule="auto"/>
              <w:ind w:left="210" w:leftChars="100" w:firstLine="442"/>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9" w:hRule="atLeast"/>
        </w:trPr>
        <w:tc>
          <w:tcPr>
            <w:tcW w:w="289" w:type="pct"/>
            <w:vAlign w:val="center"/>
          </w:tcPr>
          <w:p>
            <w:pPr>
              <w:pStyle w:val="37"/>
              <w:spacing w:line="300" w:lineRule="auto"/>
              <w:ind w:firstLine="220" w:firstLineChars="100"/>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1</w:t>
            </w:r>
          </w:p>
        </w:tc>
        <w:tc>
          <w:tcPr>
            <w:tcW w:w="933" w:type="pct"/>
            <w:vAlign w:val="center"/>
          </w:tcPr>
          <w:p>
            <w:pPr>
              <w:pStyle w:val="37"/>
              <w:spacing w:line="300" w:lineRule="auto"/>
              <w:ind w:firstLine="440"/>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质保期</w:t>
            </w:r>
          </w:p>
        </w:tc>
        <w:tc>
          <w:tcPr>
            <w:tcW w:w="3777" w:type="pct"/>
            <w:vAlign w:val="center"/>
          </w:tcPr>
          <w:p>
            <w:pPr>
              <w:pStyle w:val="37"/>
              <w:spacing w:line="300" w:lineRule="auto"/>
              <w:ind w:left="210" w:leftChars="100" w:firstLine="440"/>
              <w:jc w:val="both"/>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采购合同签订</w:t>
            </w:r>
            <w:r>
              <w:rPr>
                <w:rFonts w:hint="eastAsia" w:ascii="Times New Roman" w:hAnsi="Times New Roman" w:eastAsia="仿宋" w:cs="Times New Roman"/>
                <w:sz w:val="22"/>
                <w:szCs w:val="22"/>
                <w:lang w:val="zh-CN"/>
              </w:rPr>
              <w:t>之日起</w:t>
            </w:r>
            <w:r>
              <w:rPr>
                <w:rFonts w:ascii="Times New Roman" w:hAnsi="Times New Roman" w:eastAsia="仿宋" w:cs="Times New Roman"/>
                <w:sz w:val="22"/>
                <w:szCs w:val="22"/>
              </w:rPr>
              <w:t>1</w:t>
            </w:r>
            <w:r>
              <w:rPr>
                <w:rFonts w:hint="eastAsia" w:ascii="Times New Roman" w:hAnsi="Times New Roman" w:eastAsia="仿宋" w:cs="Times New Roman"/>
                <w:sz w:val="22"/>
                <w:szCs w:val="22"/>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75" w:hRule="atLeast"/>
        </w:trPr>
        <w:tc>
          <w:tcPr>
            <w:tcW w:w="289" w:type="pct"/>
            <w:vAlign w:val="center"/>
          </w:tcPr>
          <w:p>
            <w:pPr>
              <w:pStyle w:val="37"/>
              <w:spacing w:line="300" w:lineRule="auto"/>
              <w:ind w:firstLine="220" w:firstLineChars="100"/>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2</w:t>
            </w:r>
          </w:p>
        </w:tc>
        <w:tc>
          <w:tcPr>
            <w:tcW w:w="933" w:type="pct"/>
            <w:vAlign w:val="center"/>
          </w:tcPr>
          <w:p>
            <w:pPr>
              <w:pStyle w:val="37"/>
              <w:spacing w:line="300" w:lineRule="auto"/>
              <w:ind w:firstLine="440"/>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服务</w:t>
            </w:r>
            <w:r>
              <w:rPr>
                <w:rFonts w:ascii="Times New Roman" w:hAnsi="Times New Roman" w:eastAsia="仿宋" w:cs="Times New Roman"/>
                <w:sz w:val="22"/>
                <w:szCs w:val="22"/>
                <w:lang w:val="zh-CN"/>
              </w:rPr>
              <w:t>地点</w:t>
            </w:r>
          </w:p>
        </w:tc>
        <w:tc>
          <w:tcPr>
            <w:tcW w:w="3777" w:type="pct"/>
            <w:vAlign w:val="center"/>
          </w:tcPr>
          <w:p>
            <w:pPr>
              <w:pStyle w:val="37"/>
              <w:spacing w:line="300" w:lineRule="auto"/>
              <w:ind w:left="210" w:leftChars="100" w:firstLine="44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85" w:hRule="atLeast"/>
        </w:trPr>
        <w:tc>
          <w:tcPr>
            <w:tcW w:w="289" w:type="pct"/>
            <w:vAlign w:val="center"/>
          </w:tcPr>
          <w:p>
            <w:pPr>
              <w:pStyle w:val="37"/>
              <w:spacing w:line="300" w:lineRule="auto"/>
              <w:ind w:firstLine="220" w:firstLineChars="100"/>
              <w:rPr>
                <w:rFonts w:ascii="Times New Roman" w:hAnsi="Times New Roman" w:eastAsia="仿宋" w:cs="Times New Roman"/>
                <w:sz w:val="22"/>
                <w:szCs w:val="22"/>
              </w:rPr>
            </w:pPr>
            <w:r>
              <w:rPr>
                <w:rFonts w:hint="eastAsia" w:ascii="Times New Roman" w:hAnsi="Times New Roman" w:eastAsia="仿宋" w:cs="Times New Roman"/>
                <w:sz w:val="22"/>
                <w:szCs w:val="22"/>
              </w:rPr>
              <w:t>3</w:t>
            </w:r>
          </w:p>
        </w:tc>
        <w:tc>
          <w:tcPr>
            <w:tcW w:w="933" w:type="pct"/>
            <w:vAlign w:val="center"/>
          </w:tcPr>
          <w:p>
            <w:pPr>
              <w:pStyle w:val="37"/>
              <w:spacing w:line="300" w:lineRule="auto"/>
              <w:ind w:firstLine="440"/>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w:t>
            </w:r>
          </w:p>
        </w:tc>
        <w:tc>
          <w:tcPr>
            <w:tcW w:w="3777" w:type="pct"/>
            <w:vAlign w:val="center"/>
          </w:tcPr>
          <w:p>
            <w:pPr>
              <w:pStyle w:val="37"/>
              <w:spacing w:line="300" w:lineRule="auto"/>
              <w:ind w:left="210" w:leftChars="100" w:firstLine="44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报价应是完成本项目所有采购内容和比选文件规定的其它全部费用，最终用户验收合格后的总价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8" w:hRule="atLeast"/>
        </w:trPr>
        <w:tc>
          <w:tcPr>
            <w:tcW w:w="289" w:type="pct"/>
            <w:vAlign w:val="center"/>
          </w:tcPr>
          <w:p>
            <w:pPr>
              <w:pStyle w:val="37"/>
              <w:spacing w:line="300" w:lineRule="auto"/>
              <w:ind w:firstLine="220" w:firstLineChars="100"/>
              <w:rPr>
                <w:rFonts w:ascii="Times New Roman" w:hAnsi="Times New Roman" w:eastAsia="仿宋" w:cs="Times New Roman"/>
                <w:sz w:val="22"/>
                <w:szCs w:val="22"/>
              </w:rPr>
            </w:pPr>
            <w:r>
              <w:rPr>
                <w:rFonts w:hint="eastAsia" w:ascii="Times New Roman" w:hAnsi="Times New Roman" w:eastAsia="仿宋" w:cs="Times New Roman"/>
                <w:sz w:val="22"/>
                <w:szCs w:val="22"/>
              </w:rPr>
              <w:t>4</w:t>
            </w:r>
          </w:p>
        </w:tc>
        <w:tc>
          <w:tcPr>
            <w:tcW w:w="933" w:type="pct"/>
            <w:vAlign w:val="center"/>
          </w:tcPr>
          <w:p>
            <w:pPr>
              <w:pStyle w:val="37"/>
              <w:spacing w:line="30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合同价款支付</w:t>
            </w:r>
          </w:p>
        </w:tc>
        <w:tc>
          <w:tcPr>
            <w:tcW w:w="3777" w:type="pct"/>
            <w:vAlign w:val="center"/>
          </w:tcPr>
          <w:p>
            <w:pPr>
              <w:pStyle w:val="37"/>
              <w:spacing w:line="300" w:lineRule="auto"/>
              <w:ind w:left="210" w:firstLine="44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货款支付：经双方验收合格后由供应商提供完税发票，采购人收到发票资料后1</w:t>
            </w:r>
            <w:r>
              <w:rPr>
                <w:rFonts w:ascii="Times New Roman" w:hAnsi="Times New Roman" w:eastAsia="仿宋" w:cs="Times New Roman"/>
                <w:sz w:val="22"/>
                <w:szCs w:val="22"/>
                <w:lang w:val="zh-CN"/>
              </w:rPr>
              <w:t>0</w:t>
            </w:r>
            <w:r>
              <w:rPr>
                <w:rFonts w:hint="eastAsia" w:ascii="Times New Roman" w:hAnsi="Times New Roman" w:eastAsia="仿宋" w:cs="Times New Roman"/>
                <w:sz w:val="22"/>
                <w:szCs w:val="22"/>
                <w:lang w:val="zh-CN"/>
              </w:rPr>
              <w:t>个工作日内支付合同全款。（国家法定节假日和学校寒暑假期间结算支付适当延后）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9" w:type="pct"/>
            <w:vAlign w:val="center"/>
          </w:tcPr>
          <w:p>
            <w:pPr>
              <w:pStyle w:val="37"/>
              <w:spacing w:line="300" w:lineRule="auto"/>
              <w:ind w:firstLine="220" w:firstLineChars="100"/>
              <w:rPr>
                <w:rFonts w:ascii="Times New Roman" w:hAnsi="Times New Roman" w:eastAsia="仿宋" w:cs="Times New Roman"/>
                <w:sz w:val="22"/>
                <w:szCs w:val="22"/>
              </w:rPr>
            </w:pPr>
            <w:bookmarkStart w:id="53" w:name="_Toc28829"/>
            <w:bookmarkStart w:id="54" w:name="_Toc32743"/>
            <w:r>
              <w:rPr>
                <w:rFonts w:hint="eastAsia" w:ascii="Times New Roman" w:hAnsi="Times New Roman" w:eastAsia="仿宋" w:cs="Times New Roman"/>
                <w:sz w:val="22"/>
                <w:szCs w:val="22"/>
              </w:rPr>
              <w:t>5</w:t>
            </w:r>
          </w:p>
        </w:tc>
        <w:tc>
          <w:tcPr>
            <w:tcW w:w="933" w:type="pct"/>
            <w:vAlign w:val="center"/>
          </w:tcPr>
          <w:p>
            <w:pPr>
              <w:pStyle w:val="37"/>
              <w:spacing w:line="300" w:lineRule="auto"/>
              <w:ind w:firstLine="440"/>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履约验收</w:t>
            </w:r>
          </w:p>
        </w:tc>
        <w:tc>
          <w:tcPr>
            <w:tcW w:w="3777" w:type="pct"/>
            <w:vAlign w:val="center"/>
          </w:tcPr>
          <w:p>
            <w:pPr>
              <w:pStyle w:val="37"/>
              <w:spacing w:line="300" w:lineRule="auto"/>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参照四川铁道职业学院《货物与服务验收管理办法（试行）》的要求进行验收。</w:t>
            </w:r>
          </w:p>
        </w:tc>
      </w:tr>
      <w:bookmarkEnd w:id="53"/>
      <w:bookmarkEnd w:id="54"/>
    </w:tbl>
    <w:p>
      <w:pPr>
        <w:pStyle w:val="2"/>
        <w:ind w:left="420" w:leftChars="200"/>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3"/>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55"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55"/>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p>
      <w:pPr>
        <w:jc w:val="center"/>
        <w:rPr>
          <w:rFonts w:ascii="宋体" w:hAnsi="宋体" w:eastAsia="宋体" w:cs="仿宋"/>
          <w:sz w:val="24"/>
          <w:szCs w:val="24"/>
          <w:lang w:val="zh-TW" w:eastAsia="zh-TW"/>
        </w:rPr>
      </w:pPr>
    </w:p>
    <w:tbl>
      <w:tblPr>
        <w:tblStyle w:val="18"/>
        <w:tblpPr w:leftFromText="180" w:rightFromText="180" w:vertAnchor="text" w:horzAnchor="margin" w:tblpXSpec="center" w:tblpY="44"/>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185"/>
        <w:gridCol w:w="718"/>
        <w:gridCol w:w="447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88"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序号</w:t>
            </w:r>
          </w:p>
        </w:tc>
        <w:tc>
          <w:tcPr>
            <w:tcW w:w="1185"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评分因素</w:t>
            </w:r>
          </w:p>
          <w:p>
            <w:pPr>
              <w:jc w:val="center"/>
              <w:rPr>
                <w:rFonts w:ascii="Times New Roman" w:hAnsi="Times New Roman" w:eastAsia="仿宋"/>
                <w:kern w:val="0"/>
                <w:sz w:val="22"/>
              </w:rPr>
            </w:pPr>
            <w:r>
              <w:rPr>
                <w:rFonts w:hint="eastAsia" w:ascii="Times New Roman" w:hAnsi="Times New Roman" w:eastAsia="仿宋"/>
                <w:kern w:val="0"/>
                <w:sz w:val="22"/>
              </w:rPr>
              <w:t>及权重</w:t>
            </w:r>
          </w:p>
        </w:tc>
        <w:tc>
          <w:tcPr>
            <w:tcW w:w="718"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分值</w:t>
            </w:r>
          </w:p>
        </w:tc>
        <w:tc>
          <w:tcPr>
            <w:tcW w:w="4472"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评分标准</w:t>
            </w:r>
          </w:p>
        </w:tc>
        <w:tc>
          <w:tcPr>
            <w:tcW w:w="1807"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88" w:type="dxa"/>
            <w:vAlign w:val="center"/>
          </w:tcPr>
          <w:p>
            <w:pPr>
              <w:jc w:val="center"/>
              <w:rPr>
                <w:rFonts w:ascii="Times New Roman" w:hAnsi="Times New Roman" w:eastAsia="仿宋"/>
                <w:kern w:val="0"/>
                <w:sz w:val="22"/>
              </w:rPr>
            </w:pPr>
            <w:r>
              <w:rPr>
                <w:rFonts w:ascii="Times New Roman" w:hAnsi="Times New Roman" w:eastAsia="仿宋"/>
                <w:kern w:val="0"/>
                <w:sz w:val="22"/>
              </w:rPr>
              <w:t>1</w:t>
            </w:r>
          </w:p>
        </w:tc>
        <w:tc>
          <w:tcPr>
            <w:tcW w:w="1185"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报价</w:t>
            </w:r>
          </w:p>
        </w:tc>
        <w:tc>
          <w:tcPr>
            <w:tcW w:w="718"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40分</w:t>
            </w:r>
          </w:p>
        </w:tc>
        <w:tc>
          <w:tcPr>
            <w:tcW w:w="4472" w:type="dxa"/>
            <w:vAlign w:val="center"/>
          </w:tcPr>
          <w:p>
            <w:pPr>
              <w:rPr>
                <w:rFonts w:ascii="Times New Roman" w:hAnsi="Times New Roman" w:eastAsia="仿宋"/>
                <w:kern w:val="0"/>
                <w:sz w:val="22"/>
              </w:rPr>
            </w:pPr>
            <w:r>
              <w:rPr>
                <w:rFonts w:hint="eastAsia" w:ascii="Times New Roman" w:hAnsi="Times New Roman" w:eastAsia="仿宋"/>
                <w:kern w:val="0"/>
                <w:sz w:val="22"/>
              </w:rPr>
              <w:t>满足比选文件要求且响应文件总价最低的报价为评审基准价，其价格分为满分。其他供应商的价格分统一按照下列公式计算：报价得分</w:t>
            </w:r>
            <w:r>
              <w:rPr>
                <w:rFonts w:ascii="Times New Roman" w:hAnsi="Times New Roman" w:eastAsia="仿宋"/>
                <w:kern w:val="0"/>
                <w:sz w:val="22"/>
              </w:rPr>
              <w:t>=(</w:t>
            </w:r>
            <w:r>
              <w:rPr>
                <w:rFonts w:hint="eastAsia" w:ascii="Times New Roman" w:hAnsi="Times New Roman" w:eastAsia="仿宋"/>
                <w:kern w:val="0"/>
                <w:sz w:val="22"/>
              </w:rPr>
              <w:t>评审基准价÷报价</w:t>
            </w:r>
            <w:r>
              <w:rPr>
                <w:rFonts w:ascii="Times New Roman" w:hAnsi="Times New Roman" w:eastAsia="仿宋"/>
                <w:kern w:val="0"/>
                <w:sz w:val="22"/>
              </w:rPr>
              <w:t>)</w:t>
            </w:r>
            <w:r>
              <w:rPr>
                <w:rFonts w:hint="eastAsia" w:ascii="Times New Roman" w:hAnsi="Times New Roman" w:eastAsia="仿宋"/>
                <w:kern w:val="0"/>
                <w:sz w:val="22"/>
              </w:rPr>
              <w:t>×4</w:t>
            </w:r>
            <w:r>
              <w:rPr>
                <w:rFonts w:ascii="Times New Roman" w:hAnsi="Times New Roman" w:eastAsia="仿宋"/>
                <w:kern w:val="0"/>
                <w:sz w:val="22"/>
              </w:rPr>
              <w:t>0</w:t>
            </w:r>
            <w:r>
              <w:rPr>
                <w:rFonts w:hint="eastAsia" w:ascii="Times New Roman" w:hAnsi="Times New Roman" w:eastAsia="仿宋"/>
                <w:kern w:val="0"/>
                <w:sz w:val="22"/>
              </w:rPr>
              <w:t>；</w:t>
            </w:r>
          </w:p>
        </w:tc>
        <w:tc>
          <w:tcPr>
            <w:tcW w:w="1807" w:type="dxa"/>
            <w:vAlign w:val="center"/>
          </w:tcPr>
          <w:p>
            <w:pPr>
              <w:jc w:val="center"/>
              <w:rPr>
                <w:rFonts w:ascii="Times New Roman" w:hAnsi="Times New Roman"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88"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2</w:t>
            </w:r>
          </w:p>
        </w:tc>
        <w:tc>
          <w:tcPr>
            <w:tcW w:w="1185"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技术指标及配置</w:t>
            </w:r>
          </w:p>
        </w:tc>
        <w:tc>
          <w:tcPr>
            <w:tcW w:w="718" w:type="dxa"/>
            <w:vAlign w:val="center"/>
          </w:tcPr>
          <w:p>
            <w:pPr>
              <w:jc w:val="center"/>
              <w:rPr>
                <w:rFonts w:ascii="Times New Roman" w:hAnsi="Times New Roman" w:eastAsia="仿宋"/>
                <w:kern w:val="0"/>
                <w:sz w:val="22"/>
              </w:rPr>
            </w:pPr>
            <w:r>
              <w:rPr>
                <w:rFonts w:ascii="Times New Roman" w:hAnsi="Times New Roman" w:eastAsia="仿宋"/>
                <w:kern w:val="0"/>
                <w:sz w:val="22"/>
              </w:rPr>
              <w:t>20</w:t>
            </w:r>
            <w:r>
              <w:rPr>
                <w:rFonts w:hint="eastAsia" w:ascii="Times New Roman" w:hAnsi="Times New Roman" w:eastAsia="仿宋"/>
                <w:kern w:val="0"/>
                <w:sz w:val="22"/>
              </w:rPr>
              <w:t>分</w:t>
            </w:r>
          </w:p>
        </w:tc>
        <w:tc>
          <w:tcPr>
            <w:tcW w:w="4472" w:type="dxa"/>
            <w:vAlign w:val="center"/>
          </w:tcPr>
          <w:p>
            <w:pPr>
              <w:rPr>
                <w:rFonts w:hint="eastAsia" w:ascii="Times New Roman" w:hAnsi="Times New Roman" w:eastAsia="仿宋"/>
                <w:kern w:val="0"/>
                <w:sz w:val="22"/>
              </w:rPr>
            </w:pPr>
            <w:r>
              <w:rPr>
                <w:rFonts w:hint="eastAsia" w:ascii="Times New Roman" w:hAnsi="Times New Roman" w:eastAsia="仿宋"/>
                <w:kern w:val="0"/>
                <w:sz w:val="22"/>
              </w:rPr>
              <w:t>技术参数响应（</w:t>
            </w:r>
            <w:r>
              <w:rPr>
                <w:rFonts w:ascii="Times New Roman" w:hAnsi="Times New Roman" w:eastAsia="仿宋"/>
                <w:kern w:val="0"/>
                <w:sz w:val="22"/>
              </w:rPr>
              <w:t>20</w:t>
            </w:r>
            <w:r>
              <w:rPr>
                <w:rFonts w:hint="eastAsia" w:ascii="Times New Roman" w:hAnsi="Times New Roman" w:eastAsia="仿宋"/>
                <w:kern w:val="0"/>
                <w:sz w:val="22"/>
              </w:rPr>
              <w:t>分）：投标产品完全响应采购需求中“采购清单及技术参数要求”的得</w:t>
            </w:r>
            <w:r>
              <w:rPr>
                <w:rFonts w:ascii="Times New Roman" w:hAnsi="Times New Roman" w:eastAsia="仿宋"/>
                <w:kern w:val="0"/>
                <w:sz w:val="22"/>
              </w:rPr>
              <w:t>20</w:t>
            </w:r>
            <w:r>
              <w:rPr>
                <w:rFonts w:hint="eastAsia" w:ascii="Times New Roman" w:hAnsi="Times New Roman" w:eastAsia="仿宋"/>
                <w:kern w:val="0"/>
                <w:sz w:val="22"/>
              </w:rPr>
              <w:t>分。不响应，每缺一项扣</w:t>
            </w:r>
            <w:r>
              <w:rPr>
                <w:rFonts w:ascii="Times New Roman" w:hAnsi="Times New Roman" w:eastAsia="仿宋"/>
                <w:kern w:val="0"/>
                <w:sz w:val="22"/>
              </w:rPr>
              <w:t>2</w:t>
            </w:r>
            <w:r>
              <w:rPr>
                <w:rFonts w:hint="eastAsia" w:ascii="Times New Roman" w:hAnsi="Times New Roman" w:eastAsia="仿宋"/>
                <w:kern w:val="0"/>
                <w:sz w:val="22"/>
              </w:rPr>
              <w:t>分，该项扣完为止。</w:t>
            </w:r>
          </w:p>
        </w:tc>
        <w:tc>
          <w:tcPr>
            <w:tcW w:w="1807" w:type="dxa"/>
            <w:vAlign w:val="center"/>
          </w:tcPr>
          <w:p>
            <w:pPr>
              <w:jc w:val="center"/>
              <w:rPr>
                <w:rFonts w:ascii="Times New Roman" w:hAnsi="Times New Roman"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488" w:type="dxa"/>
            <w:vAlign w:val="center"/>
          </w:tcPr>
          <w:p>
            <w:pPr>
              <w:jc w:val="center"/>
              <w:rPr>
                <w:rFonts w:ascii="Times New Roman" w:hAnsi="Times New Roman" w:eastAsia="仿宋"/>
                <w:kern w:val="0"/>
                <w:sz w:val="22"/>
              </w:rPr>
            </w:pPr>
            <w:r>
              <w:rPr>
                <w:rFonts w:ascii="Times New Roman" w:hAnsi="Times New Roman" w:eastAsia="仿宋"/>
                <w:kern w:val="0"/>
                <w:sz w:val="22"/>
              </w:rPr>
              <w:t>3</w:t>
            </w:r>
          </w:p>
        </w:tc>
        <w:tc>
          <w:tcPr>
            <w:tcW w:w="1185"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实施配送方案</w:t>
            </w:r>
          </w:p>
        </w:tc>
        <w:tc>
          <w:tcPr>
            <w:tcW w:w="718" w:type="dxa"/>
            <w:vAlign w:val="center"/>
          </w:tcPr>
          <w:p>
            <w:pPr>
              <w:jc w:val="center"/>
              <w:rPr>
                <w:rFonts w:ascii="Times New Roman" w:hAnsi="Times New Roman" w:eastAsia="仿宋"/>
                <w:kern w:val="0"/>
                <w:sz w:val="22"/>
              </w:rPr>
            </w:pPr>
            <w:r>
              <w:rPr>
                <w:rFonts w:ascii="Times New Roman" w:hAnsi="Times New Roman" w:eastAsia="仿宋"/>
                <w:kern w:val="0"/>
                <w:sz w:val="22"/>
              </w:rPr>
              <w:t>24</w:t>
            </w:r>
            <w:r>
              <w:rPr>
                <w:rFonts w:hint="eastAsia" w:ascii="Times New Roman" w:hAnsi="Times New Roman" w:eastAsia="仿宋"/>
                <w:kern w:val="0"/>
                <w:sz w:val="22"/>
              </w:rPr>
              <w:t>分</w:t>
            </w:r>
          </w:p>
        </w:tc>
        <w:tc>
          <w:tcPr>
            <w:tcW w:w="4472" w:type="dxa"/>
            <w:vAlign w:val="center"/>
          </w:tcPr>
          <w:p>
            <w:pPr>
              <w:rPr>
                <w:rFonts w:ascii="Times New Roman" w:hAnsi="Times New Roman" w:eastAsia="仿宋"/>
                <w:kern w:val="0"/>
                <w:sz w:val="22"/>
              </w:rPr>
            </w:pPr>
            <w:r>
              <w:rPr>
                <w:rFonts w:hint="eastAsia" w:ascii="Times New Roman" w:hAnsi="Times New Roman" w:eastAsia="仿宋"/>
                <w:kern w:val="0"/>
                <w:sz w:val="22"/>
              </w:rPr>
              <w:t>1.根据供应商提供的项目实施方案应包含：</w:t>
            </w:r>
          </w:p>
          <w:p>
            <w:pPr>
              <w:rPr>
                <w:rFonts w:ascii="Times New Roman" w:hAnsi="Times New Roman" w:eastAsia="仿宋"/>
                <w:kern w:val="0"/>
                <w:sz w:val="22"/>
              </w:rPr>
            </w:pPr>
            <w:r>
              <w:rPr>
                <w:rFonts w:hint="eastAsia" w:ascii="Times New Roman" w:hAnsi="Times New Roman" w:eastAsia="仿宋"/>
                <w:kern w:val="0"/>
                <w:sz w:val="22"/>
              </w:rPr>
              <w:t>①人员配置及分工；</w:t>
            </w:r>
          </w:p>
          <w:p>
            <w:pPr>
              <w:rPr>
                <w:rFonts w:ascii="Times New Roman" w:hAnsi="Times New Roman" w:eastAsia="仿宋"/>
                <w:kern w:val="0"/>
                <w:sz w:val="22"/>
              </w:rPr>
            </w:pPr>
            <w:r>
              <w:rPr>
                <w:rFonts w:hint="eastAsia" w:ascii="Times New Roman" w:hAnsi="Times New Roman" w:eastAsia="仿宋"/>
                <w:kern w:val="0"/>
                <w:sz w:val="22"/>
              </w:rPr>
              <w:t>②货源组织、包装运输；</w:t>
            </w:r>
          </w:p>
          <w:p>
            <w:pPr>
              <w:rPr>
                <w:rFonts w:ascii="Times New Roman" w:hAnsi="Times New Roman" w:eastAsia="仿宋"/>
                <w:kern w:val="0"/>
                <w:sz w:val="22"/>
              </w:rPr>
            </w:pPr>
            <w:r>
              <w:rPr>
                <w:rFonts w:hint="eastAsia" w:ascii="Times New Roman" w:hAnsi="Times New Roman" w:eastAsia="仿宋"/>
                <w:kern w:val="0"/>
                <w:sz w:val="22"/>
              </w:rPr>
              <w:t>③安装时间进度安排；</w:t>
            </w:r>
          </w:p>
          <w:p>
            <w:pPr>
              <w:rPr>
                <w:rFonts w:ascii="Times New Roman" w:hAnsi="Times New Roman" w:eastAsia="仿宋"/>
                <w:kern w:val="0"/>
                <w:sz w:val="22"/>
              </w:rPr>
            </w:pPr>
            <w:r>
              <w:rPr>
                <w:rFonts w:hint="eastAsia" w:ascii="Times New Roman" w:hAnsi="Times New Roman" w:eastAsia="仿宋"/>
                <w:kern w:val="0"/>
                <w:sz w:val="22"/>
              </w:rPr>
              <w:t>④产品质量检验制度、质量保障措施、应急预案。</w:t>
            </w:r>
          </w:p>
          <w:p>
            <w:pPr>
              <w:ind w:firstLine="440" w:firstLineChars="200"/>
              <w:rPr>
                <w:rFonts w:ascii="Times New Roman" w:hAnsi="Times New Roman" w:eastAsia="仿宋"/>
                <w:kern w:val="0"/>
                <w:sz w:val="22"/>
              </w:rPr>
            </w:pPr>
            <w:r>
              <w:rPr>
                <w:rFonts w:hint="eastAsia" w:ascii="Times New Roman" w:hAnsi="Times New Roman" w:eastAsia="仿宋"/>
                <w:kern w:val="0"/>
                <w:sz w:val="22"/>
              </w:rPr>
              <w:t xml:space="preserve">上述内容均符合实际情况、内容齐全、描述准确、完全响应采购要求的得 </w:t>
            </w:r>
            <w:r>
              <w:rPr>
                <w:rFonts w:ascii="Times New Roman" w:hAnsi="Times New Roman" w:eastAsia="仿宋"/>
                <w:kern w:val="0"/>
                <w:sz w:val="22"/>
              </w:rPr>
              <w:t>24</w:t>
            </w:r>
            <w:r>
              <w:rPr>
                <w:rFonts w:hint="eastAsia" w:ascii="Times New Roman" w:hAnsi="Times New Roman" w:eastAsia="仿宋"/>
                <w:kern w:val="0"/>
                <w:sz w:val="22"/>
              </w:rPr>
              <w:t>分；每缺少一项内容或每有一项内容不满足要求的或每有一项存在内容错误(内容错误指：项目名称、实施地点、各种组织规范、标准与本项目要求不匹配；方案内容与项目不匹配；方案内容与项目无关或内容脱离实际需求等情形)的该项不得分，每有一项内容不齐全扣</w:t>
            </w:r>
            <w:r>
              <w:rPr>
                <w:rFonts w:ascii="Times New Roman" w:hAnsi="Times New Roman" w:eastAsia="仿宋"/>
                <w:kern w:val="0"/>
                <w:sz w:val="22"/>
              </w:rPr>
              <w:t>2</w:t>
            </w:r>
            <w:r>
              <w:rPr>
                <w:rFonts w:hint="eastAsia" w:ascii="Times New Roman" w:hAnsi="Times New Roman" w:eastAsia="仿宋"/>
                <w:kern w:val="0"/>
                <w:sz w:val="22"/>
              </w:rPr>
              <w:t>分，扣完为止。</w:t>
            </w:r>
          </w:p>
          <w:p>
            <w:pPr>
              <w:rPr>
                <w:rFonts w:ascii="Times New Roman" w:hAnsi="Times New Roman" w:eastAsia="仿宋"/>
                <w:kern w:val="0"/>
                <w:sz w:val="22"/>
              </w:rPr>
            </w:pPr>
          </w:p>
        </w:tc>
        <w:tc>
          <w:tcPr>
            <w:tcW w:w="1807" w:type="dxa"/>
            <w:vAlign w:val="center"/>
          </w:tcPr>
          <w:p>
            <w:pPr>
              <w:jc w:val="center"/>
              <w:rPr>
                <w:rFonts w:ascii="Times New Roman" w:hAnsi="Times New Roman"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88" w:type="dxa"/>
            <w:vAlign w:val="center"/>
          </w:tcPr>
          <w:p>
            <w:pPr>
              <w:jc w:val="center"/>
              <w:rPr>
                <w:rFonts w:ascii="Times New Roman" w:hAnsi="Times New Roman" w:eastAsia="仿宋"/>
                <w:kern w:val="0"/>
                <w:sz w:val="22"/>
              </w:rPr>
            </w:pPr>
            <w:r>
              <w:rPr>
                <w:rFonts w:ascii="Times New Roman" w:hAnsi="Times New Roman" w:eastAsia="仿宋"/>
                <w:kern w:val="0"/>
                <w:sz w:val="22"/>
              </w:rPr>
              <w:t>4</w:t>
            </w:r>
          </w:p>
        </w:tc>
        <w:tc>
          <w:tcPr>
            <w:tcW w:w="1185" w:type="dxa"/>
            <w:vAlign w:val="center"/>
          </w:tcPr>
          <w:p>
            <w:pPr>
              <w:spacing w:line="380" w:lineRule="exact"/>
              <w:ind w:left="84" w:leftChars="40"/>
              <w:rPr>
                <w:rFonts w:ascii="Times New Roman" w:hAnsi="Times New Roman" w:eastAsia="仿宋"/>
                <w:kern w:val="0"/>
                <w:sz w:val="22"/>
              </w:rPr>
            </w:pPr>
            <w:r>
              <w:rPr>
                <w:rFonts w:hint="eastAsia" w:ascii="Times New Roman" w:hAnsi="Times New Roman" w:eastAsia="仿宋"/>
                <w:kern w:val="0"/>
                <w:sz w:val="22"/>
              </w:rPr>
              <w:t>业绩</w:t>
            </w:r>
          </w:p>
        </w:tc>
        <w:tc>
          <w:tcPr>
            <w:tcW w:w="718" w:type="dxa"/>
            <w:vAlign w:val="center"/>
          </w:tcPr>
          <w:p>
            <w:pPr>
              <w:spacing w:line="380" w:lineRule="exact"/>
              <w:ind w:firstLine="28"/>
              <w:jc w:val="center"/>
              <w:rPr>
                <w:rFonts w:ascii="Times New Roman" w:hAnsi="Times New Roman" w:eastAsia="仿宋"/>
                <w:kern w:val="0"/>
                <w:sz w:val="22"/>
              </w:rPr>
            </w:pPr>
            <w:r>
              <w:rPr>
                <w:rFonts w:ascii="Times New Roman" w:hAnsi="Times New Roman" w:eastAsia="仿宋"/>
                <w:kern w:val="0"/>
                <w:sz w:val="22"/>
              </w:rPr>
              <w:t>8</w:t>
            </w:r>
            <w:r>
              <w:rPr>
                <w:rFonts w:hint="eastAsia" w:ascii="Times New Roman" w:hAnsi="Times New Roman" w:eastAsia="仿宋"/>
                <w:kern w:val="0"/>
                <w:sz w:val="22"/>
              </w:rPr>
              <w:t>分</w:t>
            </w:r>
          </w:p>
        </w:tc>
        <w:tc>
          <w:tcPr>
            <w:tcW w:w="4472" w:type="dxa"/>
            <w:vAlign w:val="center"/>
          </w:tcPr>
          <w:p>
            <w:pPr>
              <w:spacing w:line="400" w:lineRule="exact"/>
              <w:rPr>
                <w:rFonts w:ascii="Times New Roman" w:hAnsi="Times New Roman" w:eastAsia="仿宋"/>
                <w:kern w:val="0"/>
                <w:sz w:val="22"/>
              </w:rPr>
            </w:pPr>
            <w:r>
              <w:rPr>
                <w:rFonts w:hint="eastAsia" w:ascii="Times New Roman" w:hAnsi="Times New Roman" w:eastAsia="仿宋"/>
                <w:kern w:val="0"/>
                <w:sz w:val="22"/>
              </w:rPr>
              <w:t>提供供应商自2020年1月1日以来类似本项目案例的，每提供1个得</w:t>
            </w:r>
            <w:r>
              <w:rPr>
                <w:rFonts w:ascii="Times New Roman" w:hAnsi="Times New Roman" w:eastAsia="仿宋"/>
                <w:kern w:val="0"/>
                <w:sz w:val="22"/>
              </w:rPr>
              <w:t>2</w:t>
            </w:r>
            <w:r>
              <w:rPr>
                <w:rFonts w:hint="eastAsia" w:ascii="Times New Roman" w:hAnsi="Times New Roman" w:eastAsia="仿宋"/>
                <w:kern w:val="0"/>
                <w:sz w:val="22"/>
              </w:rPr>
              <w:t>分，最多得</w:t>
            </w:r>
            <w:r>
              <w:rPr>
                <w:rFonts w:ascii="Times New Roman" w:hAnsi="Times New Roman" w:eastAsia="仿宋"/>
                <w:kern w:val="0"/>
                <w:sz w:val="22"/>
              </w:rPr>
              <w:t>8</w:t>
            </w:r>
            <w:r>
              <w:rPr>
                <w:rFonts w:hint="eastAsia" w:ascii="Times New Roman" w:hAnsi="Times New Roman" w:eastAsia="仿宋"/>
                <w:kern w:val="0"/>
                <w:sz w:val="22"/>
              </w:rPr>
              <w:t>分，未提供或其他不得分。</w:t>
            </w:r>
          </w:p>
        </w:tc>
        <w:tc>
          <w:tcPr>
            <w:tcW w:w="1807" w:type="dxa"/>
            <w:vAlign w:val="center"/>
          </w:tcPr>
          <w:p>
            <w:pPr>
              <w:spacing w:line="380" w:lineRule="exact"/>
              <w:ind w:left="-38"/>
              <w:rPr>
                <w:rFonts w:ascii="Times New Roman" w:hAnsi="Times New Roman" w:eastAsia="仿宋"/>
                <w:kern w:val="0"/>
                <w:sz w:val="22"/>
              </w:rPr>
            </w:pPr>
            <w:r>
              <w:rPr>
                <w:rFonts w:hint="eastAsia" w:ascii="Times New Roman" w:hAnsi="Times New Roman" w:eastAsia="仿宋"/>
                <w:kern w:val="0"/>
                <w:sz w:val="22"/>
              </w:rPr>
              <w:t>以供应商提供销售合同复印件、中标（成交）通知书或转账支付凭证复印件加盖供应商鲜章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488" w:type="dxa"/>
            <w:vAlign w:val="center"/>
          </w:tcPr>
          <w:p>
            <w:pPr>
              <w:jc w:val="center"/>
              <w:rPr>
                <w:rFonts w:ascii="Times New Roman" w:hAnsi="Times New Roman" w:eastAsia="仿宋"/>
                <w:kern w:val="0"/>
                <w:sz w:val="22"/>
              </w:rPr>
            </w:pPr>
            <w:r>
              <w:rPr>
                <w:rFonts w:ascii="Times New Roman" w:hAnsi="Times New Roman" w:eastAsia="仿宋"/>
                <w:kern w:val="0"/>
                <w:sz w:val="22"/>
              </w:rPr>
              <w:t>5</w:t>
            </w:r>
          </w:p>
        </w:tc>
        <w:tc>
          <w:tcPr>
            <w:tcW w:w="1185" w:type="dxa"/>
            <w:vAlign w:val="center"/>
          </w:tcPr>
          <w:p>
            <w:pPr>
              <w:jc w:val="center"/>
              <w:rPr>
                <w:rFonts w:ascii="Times New Roman" w:hAnsi="Times New Roman" w:eastAsia="仿宋"/>
                <w:kern w:val="0"/>
                <w:sz w:val="22"/>
              </w:rPr>
            </w:pPr>
            <w:r>
              <w:rPr>
                <w:rFonts w:hint="eastAsia" w:ascii="Times New Roman" w:hAnsi="Times New Roman" w:eastAsia="仿宋"/>
                <w:kern w:val="0"/>
                <w:sz w:val="22"/>
              </w:rPr>
              <w:t>售后服务</w:t>
            </w:r>
          </w:p>
        </w:tc>
        <w:tc>
          <w:tcPr>
            <w:tcW w:w="718" w:type="dxa"/>
            <w:vAlign w:val="center"/>
          </w:tcPr>
          <w:p>
            <w:pPr>
              <w:jc w:val="center"/>
              <w:rPr>
                <w:rFonts w:ascii="Times New Roman" w:hAnsi="Times New Roman" w:eastAsia="仿宋"/>
                <w:kern w:val="0"/>
                <w:sz w:val="22"/>
              </w:rPr>
            </w:pPr>
            <w:r>
              <w:rPr>
                <w:rFonts w:ascii="Times New Roman" w:hAnsi="Times New Roman" w:eastAsia="仿宋"/>
                <w:kern w:val="0"/>
                <w:sz w:val="22"/>
              </w:rPr>
              <w:t>8</w:t>
            </w:r>
            <w:r>
              <w:rPr>
                <w:rFonts w:hint="eastAsia" w:ascii="Times New Roman" w:hAnsi="Times New Roman" w:eastAsia="仿宋"/>
                <w:kern w:val="0"/>
                <w:sz w:val="22"/>
              </w:rPr>
              <w:t>分</w:t>
            </w:r>
          </w:p>
        </w:tc>
        <w:tc>
          <w:tcPr>
            <w:tcW w:w="4472" w:type="dxa"/>
            <w:vAlign w:val="center"/>
          </w:tcPr>
          <w:p>
            <w:pPr>
              <w:rPr>
                <w:rFonts w:ascii="Times New Roman" w:hAnsi="Times New Roman" w:eastAsia="仿宋"/>
                <w:kern w:val="0"/>
                <w:sz w:val="22"/>
              </w:rPr>
            </w:pPr>
            <w:r>
              <w:rPr>
                <w:rFonts w:hint="eastAsia" w:ascii="Times New Roman" w:hAnsi="Times New Roman" w:eastAsia="仿宋"/>
                <w:kern w:val="0"/>
                <w:sz w:val="22"/>
              </w:rPr>
              <w:t>供应商针对采购需求制定专门的售后服务方案，提供服务方案得</w:t>
            </w:r>
            <w:r>
              <w:rPr>
                <w:rFonts w:ascii="Times New Roman" w:hAnsi="Times New Roman" w:eastAsia="仿宋"/>
                <w:kern w:val="0"/>
                <w:sz w:val="22"/>
              </w:rPr>
              <w:t>5</w:t>
            </w:r>
            <w:r>
              <w:rPr>
                <w:rFonts w:hint="eastAsia" w:ascii="Times New Roman" w:hAnsi="Times New Roman" w:eastAsia="仿宋"/>
                <w:kern w:val="0"/>
                <w:sz w:val="22"/>
              </w:rPr>
              <w:t>分。每承诺质保期增加1年得1分，最多增加</w:t>
            </w:r>
            <w:r>
              <w:rPr>
                <w:rFonts w:ascii="Times New Roman" w:hAnsi="Times New Roman" w:eastAsia="仿宋"/>
                <w:kern w:val="0"/>
                <w:sz w:val="22"/>
              </w:rPr>
              <w:t>3</w:t>
            </w:r>
            <w:r>
              <w:rPr>
                <w:rFonts w:hint="eastAsia" w:ascii="Times New Roman" w:hAnsi="Times New Roman" w:eastAsia="仿宋"/>
                <w:kern w:val="0"/>
                <w:sz w:val="22"/>
              </w:rPr>
              <w:t>年得</w:t>
            </w:r>
            <w:r>
              <w:rPr>
                <w:rFonts w:ascii="Times New Roman" w:hAnsi="Times New Roman" w:eastAsia="仿宋"/>
                <w:kern w:val="0"/>
                <w:sz w:val="22"/>
              </w:rPr>
              <w:t>3</w:t>
            </w:r>
            <w:r>
              <w:rPr>
                <w:rFonts w:hint="eastAsia" w:ascii="Times New Roman" w:hAnsi="Times New Roman" w:eastAsia="仿宋"/>
                <w:kern w:val="0"/>
                <w:sz w:val="22"/>
              </w:rPr>
              <w:t>分。</w:t>
            </w:r>
          </w:p>
        </w:tc>
        <w:tc>
          <w:tcPr>
            <w:tcW w:w="1807" w:type="dxa"/>
            <w:vAlign w:val="center"/>
          </w:tcPr>
          <w:p>
            <w:pPr>
              <w:ind w:firstLine="440" w:firstLineChars="200"/>
              <w:rPr>
                <w:rFonts w:ascii="Times New Roman" w:hAnsi="Times New Roman" w:eastAsia="仿宋"/>
                <w:kern w:val="0"/>
                <w:sz w:val="22"/>
              </w:rPr>
            </w:pPr>
          </w:p>
        </w:tc>
      </w:tr>
    </w:tbl>
    <w:p>
      <w:pPr>
        <w:pStyle w:val="2"/>
        <w:rPr>
          <w:lang w:eastAsia="zh-TW"/>
        </w:rPr>
      </w:pPr>
    </w:p>
    <w:p>
      <w:pPr>
        <w:pStyle w:val="2"/>
      </w:pPr>
    </w:p>
    <w:p>
      <w:pPr>
        <w:pStyle w:val="3"/>
        <w:spacing w:line="400" w:lineRule="exact"/>
        <w:jc w:val="center"/>
        <w:rPr>
          <w:rFonts w:ascii="宋体" w:hAnsi="宋体" w:eastAsia="宋体"/>
          <w:color w:val="000000"/>
          <w:sz w:val="36"/>
          <w:szCs w:val="36"/>
        </w:rPr>
      </w:pPr>
    </w:p>
    <w:p>
      <w:pPr>
        <w:pStyle w:val="3"/>
        <w:spacing w:line="400" w:lineRule="exact"/>
        <w:jc w:val="center"/>
        <w:rPr>
          <w:rFonts w:ascii="宋体" w:hAnsi="宋体" w:eastAsia="宋体"/>
          <w:color w:val="000000"/>
          <w:sz w:val="36"/>
          <w:szCs w:val="36"/>
        </w:rPr>
      </w:pPr>
    </w:p>
    <w:p>
      <w:pPr>
        <w:pStyle w:val="3"/>
        <w:spacing w:line="400" w:lineRule="exact"/>
        <w:jc w:val="center"/>
        <w:rPr>
          <w:rFonts w:ascii="宋体" w:hAnsi="宋体" w:eastAsia="宋体"/>
          <w:color w:val="000000"/>
          <w:sz w:val="36"/>
          <w:szCs w:val="36"/>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3"/>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2"/>
        <w:spacing w:line="400" w:lineRule="exact"/>
        <w:jc w:val="center"/>
        <w:rPr>
          <w:rFonts w:ascii="宋体" w:hAnsi="宋体" w:eastAsia="宋体"/>
          <w:sz w:val="32"/>
        </w:rPr>
      </w:pPr>
      <w:bookmarkStart w:id="56" w:name="_Toc217446082"/>
      <w:r>
        <w:rPr>
          <w:rFonts w:hint="eastAsia" w:ascii="宋体" w:hAnsi="宋体" w:eastAsia="宋体"/>
          <w:sz w:val="32"/>
        </w:rPr>
        <w:t>一、</w:t>
      </w:r>
      <w:bookmarkEnd w:id="56"/>
      <w:r>
        <w:rPr>
          <w:rFonts w:hint="eastAsia" w:ascii="宋体" w:hAnsi="宋体" w:eastAsia="宋体"/>
          <w:sz w:val="32"/>
        </w:rPr>
        <w:t>申请函</w:t>
      </w:r>
    </w:p>
    <w:p>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1"/>
        <w:spacing w:line="400" w:lineRule="exact"/>
        <w:ind w:firstLine="0"/>
        <w:rPr>
          <w:rFonts w:ascii="宋体" w:hAnsi="宋体" w:eastAsia="宋体"/>
          <w:bCs/>
          <w:sz w:val="24"/>
          <w:szCs w:val="24"/>
        </w:rPr>
      </w:pPr>
    </w:p>
    <w:p>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2"/>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2"/>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57" w:name="_Toc217446088"/>
      <w:r>
        <w:rPr>
          <w:rFonts w:hint="eastAsia" w:ascii="宋体" w:hAnsi="宋体" w:eastAsia="宋体"/>
          <w:sz w:val="32"/>
        </w:rPr>
        <w:t>四、申请人基本情况表</w:t>
      </w:r>
      <w:bookmarkEnd w:id="57"/>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58" w:name="_Toc217446089"/>
      <w:r>
        <w:rPr>
          <w:rFonts w:hint="eastAsia" w:ascii="宋体" w:hAnsi="宋体" w:eastAsia="宋体"/>
          <w:sz w:val="32"/>
        </w:rPr>
        <w:t>五、申请人类似项目业绩一览表</w:t>
      </w:r>
      <w:bookmarkEnd w:id="58"/>
    </w:p>
    <w:p>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spacing w:line="360" w:lineRule="auto"/>
              <w:jc w:val="center"/>
              <w:rPr>
                <w:rFonts w:ascii="宋体" w:hAnsi="宋体" w:eastAsia="宋体" w:cs="仿宋"/>
                <w:sz w:val="21"/>
                <w:szCs w:val="21"/>
              </w:rPr>
            </w:pPr>
          </w:p>
        </w:tc>
        <w:tc>
          <w:tcPr>
            <w:tcW w:w="3180" w:type="dxa"/>
            <w:vAlign w:val="center"/>
          </w:tcPr>
          <w:p>
            <w:pPr>
              <w:pStyle w:val="38"/>
              <w:spacing w:line="360" w:lineRule="auto"/>
              <w:jc w:val="center"/>
              <w:rPr>
                <w:rFonts w:ascii="宋体" w:hAnsi="宋体" w:eastAsia="宋体" w:cs="仿宋"/>
                <w:sz w:val="21"/>
                <w:szCs w:val="21"/>
              </w:rPr>
            </w:pPr>
          </w:p>
        </w:tc>
        <w:tc>
          <w:tcPr>
            <w:tcW w:w="2515"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2"/>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color w:val="000000"/>
          <w:sz w:val="36"/>
          <w:szCs w:val="36"/>
        </w:rPr>
      </w:pPr>
      <w:bookmarkStart w:id="59" w:name="_Toc13707"/>
      <w:bookmarkStart w:id="60" w:name="_Toc26179"/>
      <w:bookmarkStart w:id="61" w:name="_Toc31585"/>
      <w:r>
        <w:rPr>
          <w:rFonts w:hint="eastAsia" w:ascii="宋体" w:hAnsi="宋体" w:eastAsia="宋体"/>
          <w:color w:val="000000"/>
          <w:sz w:val="36"/>
          <w:szCs w:val="36"/>
        </w:rPr>
        <w:t>第七章 采购合同条款（草案）</w:t>
      </w:r>
      <w:bookmarkEnd w:id="59"/>
      <w:bookmarkEnd w:id="60"/>
      <w:bookmarkEnd w:id="61"/>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3F66A75D"/>
    <w:multiLevelType w:val="singleLevel"/>
    <w:tmpl w:val="3F66A75D"/>
    <w:lvl w:ilvl="0" w:tentative="0">
      <w:start w:val="1"/>
      <w:numFmt w:val="chineseCounting"/>
      <w:suff w:val="nothing"/>
      <w:lvlText w:val="（%1）"/>
      <w:lvlJc w:val="left"/>
      <w:pPr>
        <w:ind w:left="0" w:firstLine="420"/>
      </w:pPr>
      <w:rPr>
        <w:rFonts w:hint="eastAsia"/>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B7C41"/>
    <w:rsid w:val="009C3D5D"/>
    <w:rsid w:val="009D176B"/>
    <w:rsid w:val="00A00917"/>
    <w:rsid w:val="00A47E42"/>
    <w:rsid w:val="00A66191"/>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49A5E25"/>
    <w:rsid w:val="07BD3408"/>
    <w:rsid w:val="07F55C66"/>
    <w:rsid w:val="09526CCE"/>
    <w:rsid w:val="0E945864"/>
    <w:rsid w:val="1032785A"/>
    <w:rsid w:val="14F766D0"/>
    <w:rsid w:val="1BF84678"/>
    <w:rsid w:val="1EAA20B1"/>
    <w:rsid w:val="1EF8161D"/>
    <w:rsid w:val="23BC14BC"/>
    <w:rsid w:val="23C46957"/>
    <w:rsid w:val="244E0945"/>
    <w:rsid w:val="2C5A7AC4"/>
    <w:rsid w:val="2FA51FF8"/>
    <w:rsid w:val="34BC2E77"/>
    <w:rsid w:val="4048214A"/>
    <w:rsid w:val="40D5722F"/>
    <w:rsid w:val="414334DE"/>
    <w:rsid w:val="43C81360"/>
    <w:rsid w:val="5261632C"/>
    <w:rsid w:val="54A61249"/>
    <w:rsid w:val="57160F93"/>
    <w:rsid w:val="5BD415B9"/>
    <w:rsid w:val="5E124648"/>
    <w:rsid w:val="62CA0DEA"/>
    <w:rsid w:val="6FDF3411"/>
    <w:rsid w:val="708E13B0"/>
    <w:rsid w:val="73E27DCB"/>
    <w:rsid w:val="75994A53"/>
    <w:rsid w:val="760F2C9B"/>
    <w:rsid w:val="765E4A8E"/>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2">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0"/>
    <w:qFormat/>
    <w:uiPriority w:val="0"/>
    <w:pPr>
      <w:keepNext/>
      <w:keepLines/>
      <w:spacing w:before="120" w:after="120"/>
      <w:outlineLvl w:val="2"/>
    </w:pPr>
    <w:rPr>
      <w:rFonts w:eastAsia="仿宋"/>
      <w:b/>
      <w:sz w:val="3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2"/>
    <w:qFormat/>
    <w:uiPriority w:val="0"/>
    <w:pPr>
      <w:jc w:val="left"/>
    </w:pPr>
  </w:style>
  <w:style w:type="paragraph" w:styleId="8">
    <w:name w:val="Body Text"/>
    <w:basedOn w:val="1"/>
    <w:next w:val="1"/>
    <w:link w:val="31"/>
    <w:qFormat/>
    <w:uiPriority w:val="0"/>
    <w:pPr>
      <w:spacing w:after="120"/>
    </w:pPr>
  </w:style>
  <w:style w:type="paragraph" w:styleId="9">
    <w:name w:val="Plain Text"/>
    <w:basedOn w:val="1"/>
    <w:qFormat/>
    <w:uiPriority w:val="0"/>
    <w:rPr>
      <w:rFonts w:hAnsi="Courier New"/>
    </w:rPr>
  </w:style>
  <w:style w:type="paragraph" w:styleId="10">
    <w:name w:val="Date"/>
    <w:basedOn w:val="1"/>
    <w:next w:val="1"/>
    <w:link w:val="46"/>
    <w:semiHidden/>
    <w:unhideWhenUsed/>
    <w:qFormat/>
    <w:uiPriority w:val="99"/>
    <w:pPr>
      <w:ind w:left="100" w:leftChars="2500"/>
    </w:pPr>
  </w:style>
  <w:style w:type="paragraph" w:styleId="11">
    <w:name w:val="Body Text Indent 2"/>
    <w:basedOn w:val="1"/>
    <w:link w:val="33"/>
    <w:qFormat/>
    <w:uiPriority w:val="0"/>
    <w:pPr>
      <w:ind w:firstLine="630"/>
    </w:pPr>
    <w:rPr>
      <w:sz w:val="32"/>
    </w:rPr>
  </w:style>
  <w:style w:type="paragraph" w:styleId="12">
    <w:name w:val="Balloon Text"/>
    <w:basedOn w:val="1"/>
    <w:link w:val="49"/>
    <w:semiHidden/>
    <w:unhideWhenUsed/>
    <w:qFormat/>
    <w:uiPriority w:val="99"/>
    <w:rPr>
      <w:sz w:val="18"/>
      <w:szCs w:val="18"/>
    </w:rPr>
  </w:style>
  <w:style w:type="paragraph" w:styleId="13">
    <w:name w:val="footer"/>
    <w:basedOn w:val="1"/>
    <w:link w:val="27"/>
    <w:unhideWhenUsed/>
    <w:qFormat/>
    <w:uiPriority w:val="0"/>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0"/>
    <w:rPr>
      <w:sz w:val="28"/>
    </w:rPr>
  </w:style>
  <w:style w:type="paragraph" w:styleId="16">
    <w:name w:val="annotation subject"/>
    <w:basedOn w:val="7"/>
    <w:next w:val="7"/>
    <w:link w:val="47"/>
    <w:semiHidden/>
    <w:unhideWhenUsed/>
    <w:qFormat/>
    <w:uiPriority w:val="99"/>
    <w:rPr>
      <w:b/>
      <w:bCs/>
    </w:rPr>
  </w:style>
  <w:style w:type="paragraph" w:styleId="17">
    <w:name w:val="Body Text First Indent"/>
    <w:basedOn w:val="8"/>
    <w:link w:val="35"/>
    <w:qFormat/>
    <w:uiPriority w:val="0"/>
    <w:pPr>
      <w:spacing w:line="360" w:lineRule="auto"/>
      <w:ind w:firstLine="420"/>
    </w:pPr>
    <w:rPr>
      <w:rFonts w:ascii="宋体" w:hAnsi="宋体"/>
      <w:sz w:val="24"/>
    </w:rPr>
  </w:style>
  <w:style w:type="table" w:styleId="19">
    <w:name w:val="Table Grid"/>
    <w:basedOn w:val="1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unhideWhenUsed/>
    <w:qFormat/>
    <w:uiPriority w:val="99"/>
    <w:rPr>
      <w:sz w:val="21"/>
      <w:szCs w:val="21"/>
    </w:rPr>
  </w:style>
  <w:style w:type="paragraph" w:customStyle="1" w:styleId="23">
    <w:name w:val="标题 5（有编号）（绿盟科技）"/>
    <w:basedOn w:val="24"/>
    <w:next w:val="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4"/>
    <w:qFormat/>
    <w:uiPriority w:val="99"/>
    <w:rPr>
      <w:sz w:val="18"/>
      <w:szCs w:val="18"/>
    </w:rPr>
  </w:style>
  <w:style w:type="character" w:customStyle="1" w:styleId="27">
    <w:name w:val="页脚 字符"/>
    <w:basedOn w:val="20"/>
    <w:link w:val="13"/>
    <w:qFormat/>
    <w:uiPriority w:val="99"/>
    <w:rPr>
      <w:sz w:val="18"/>
      <w:szCs w:val="18"/>
    </w:rPr>
  </w:style>
  <w:style w:type="character" w:customStyle="1" w:styleId="28">
    <w:name w:val="标题 1 字符"/>
    <w:basedOn w:val="20"/>
    <w:link w:val="3"/>
    <w:qFormat/>
    <w:uiPriority w:val="99"/>
    <w:rPr>
      <w:b/>
      <w:bCs/>
      <w:kern w:val="44"/>
      <w:sz w:val="44"/>
      <w:szCs w:val="44"/>
    </w:rPr>
  </w:style>
  <w:style w:type="character" w:customStyle="1" w:styleId="29">
    <w:name w:val="标题 2 字符"/>
    <w:basedOn w:val="20"/>
    <w:link w:val="2"/>
    <w:qFormat/>
    <w:uiPriority w:val="0"/>
    <w:rPr>
      <w:rFonts w:ascii="Arial" w:hAnsi="Arial" w:eastAsia="仿宋"/>
      <w:b/>
      <w:bCs/>
      <w:sz w:val="28"/>
      <w:szCs w:val="32"/>
    </w:rPr>
  </w:style>
  <w:style w:type="character" w:customStyle="1" w:styleId="30">
    <w:name w:val="标题 3 字符"/>
    <w:basedOn w:val="20"/>
    <w:link w:val="4"/>
    <w:qFormat/>
    <w:uiPriority w:val="0"/>
    <w:rPr>
      <w:rFonts w:eastAsia="仿宋"/>
      <w:b/>
      <w:sz w:val="30"/>
    </w:rPr>
  </w:style>
  <w:style w:type="character" w:customStyle="1" w:styleId="31">
    <w:name w:val="正文文本 字符"/>
    <w:basedOn w:val="20"/>
    <w:link w:val="8"/>
    <w:qFormat/>
    <w:uiPriority w:val="0"/>
  </w:style>
  <w:style w:type="character" w:customStyle="1" w:styleId="32">
    <w:name w:val="批注文字 字符"/>
    <w:basedOn w:val="20"/>
    <w:link w:val="7"/>
    <w:qFormat/>
    <w:uiPriority w:val="0"/>
  </w:style>
  <w:style w:type="character" w:customStyle="1" w:styleId="33">
    <w:name w:val="正文文本缩进 2 字符"/>
    <w:basedOn w:val="20"/>
    <w:link w:val="11"/>
    <w:qFormat/>
    <w:uiPriority w:val="0"/>
    <w:rPr>
      <w:sz w:val="32"/>
    </w:rPr>
  </w:style>
  <w:style w:type="character" w:customStyle="1" w:styleId="34">
    <w:name w:val="副标题 字符"/>
    <w:basedOn w:val="20"/>
    <w:link w:val="15"/>
    <w:qFormat/>
    <w:uiPriority w:val="0"/>
    <w:rPr>
      <w:sz w:val="28"/>
    </w:rPr>
  </w:style>
  <w:style w:type="character" w:customStyle="1" w:styleId="35">
    <w:name w:val="正文首行缩进 字符"/>
    <w:basedOn w:val="31"/>
    <w:link w:val="17"/>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qFormat/>
    <w:uiPriority w:val="0"/>
    <w:rPr>
      <w:rFonts w:hint="eastAsia" w:ascii="宋体" w:hAnsi="宋体" w:eastAsia="宋体" w:cs="宋体"/>
      <w:b/>
      <w:color w:val="000000"/>
      <w:sz w:val="22"/>
      <w:szCs w:val="22"/>
      <w:u w:val="none"/>
    </w:rPr>
  </w:style>
  <w:style w:type="character" w:customStyle="1" w:styleId="46">
    <w:name w:val="日期 字符"/>
    <w:basedOn w:val="20"/>
    <w:link w:val="10"/>
    <w:semiHidden/>
    <w:qFormat/>
    <w:uiPriority w:val="99"/>
    <w:rPr>
      <w:kern w:val="2"/>
      <w:sz w:val="21"/>
      <w:szCs w:val="22"/>
    </w:rPr>
  </w:style>
  <w:style w:type="character" w:customStyle="1" w:styleId="47">
    <w:name w:val="批注主题 字符"/>
    <w:basedOn w:val="32"/>
    <w:link w:val="16"/>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49">
    <w:name w:val="批注框文本 字符"/>
    <w:basedOn w:val="20"/>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1D211-D885-485A-9732-89055D9DED3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31</Pages>
  <Words>12512</Words>
  <Characters>13181</Characters>
  <Lines>102</Lines>
  <Paragraphs>28</Paragraphs>
  <TotalTime>137</TotalTime>
  <ScaleCrop>false</ScaleCrop>
  <LinksUpToDate>false</LinksUpToDate>
  <CharactersWithSpaces>13327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2023-07-13T12:47:02Z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556A406FEDF74B8B8F79A6FD1D929DD4_13</vt:lpwstr>
  </property>
</Properties>
</file>