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6</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
        <w:rPr>
          <w:lang w:val="zh-CN"/>
        </w:rPr>
      </w:pPr>
      <w:r>
        <w:rPr>
          <w:lang w:val="zh-CN"/>
        </w:rPr>
        <w:br w:type="page"/>
      </w:r>
    </w:p>
    <w:p>
      <w:pPr>
        <w:pStyle w:val="5"/>
        <w:spacing w:line="360" w:lineRule="auto"/>
        <w:jc w:val="center"/>
        <w:rPr>
          <w:rFonts w:ascii="宋体" w:hAnsi="宋体" w:eastAsia="宋体"/>
        </w:rPr>
      </w:pPr>
      <w:r>
        <w:rPr>
          <w:rFonts w:hint="eastAsia" w:ascii="宋体" w:hAnsi="宋体" w:eastAsia="宋体"/>
          <w:bCs w:val="0"/>
          <w:sz w:val="36"/>
        </w:rPr>
        <w:t>第一章 比选邀请</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四川铁道职业学院拟对会议室信息化改造服务项目</w:t>
      </w:r>
      <w:r>
        <w:rPr>
          <w:rFonts w:ascii="宋体" w:hAnsi="宋体" w:eastAsia="宋体" w:cs="Times New Roman"/>
          <w:sz w:val="24"/>
          <w:szCs w:val="24"/>
        </w:rPr>
        <w:t>进行公开采购。遵循公开、公平、公正的原则，欢迎符合条件的各潜在供应商积极参与该项目的采购工作。现就有关事项公告如下：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rPr>
        <w:t>会议室信息化改造服务项目</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2023001</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6</w:t>
      </w:r>
      <w:r>
        <w:rPr>
          <w:rFonts w:ascii="宋体" w:hAnsi="宋体" w:eastAsia="宋体" w:cs="Times New Roman"/>
          <w:sz w:val="24"/>
          <w:szCs w:val="24"/>
        </w:rPr>
        <w:t>月</w:t>
      </w:r>
      <w:r>
        <w:rPr>
          <w:rFonts w:hint="eastAsia" w:ascii="宋体" w:hAnsi="宋体" w:eastAsia="宋体" w:cs="Times New Roman"/>
          <w:sz w:val="24"/>
          <w:szCs w:val="24"/>
        </w:rPr>
        <w:t>0</w:t>
      </w:r>
      <w:r>
        <w:rPr>
          <w:rFonts w:hint="eastAsia" w:ascii="宋体" w:hAnsi="宋体" w:eastAsia="宋体" w:cs="Times New Roman"/>
          <w:sz w:val="24"/>
          <w:szCs w:val="24"/>
          <w:lang w:val="en-US" w:eastAsia="zh-CN"/>
        </w:rPr>
        <w:t>8</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.比选申请文件应在参加比选时间前送达比选地点并进行现场签到，若不现场签</w:t>
      </w:r>
      <w:bookmarkStart w:id="34" w:name="_GoBack"/>
      <w:bookmarkEnd w:id="34"/>
      <w:r>
        <w:rPr>
          <w:rFonts w:hint="eastAsia" w:ascii="宋体" w:hAnsi="宋体" w:eastAsia="宋体" w:cs="Times New Roman"/>
          <w:sz w:val="24"/>
          <w:szCs w:val="24"/>
          <w:lang w:val="en-US" w:eastAsia="zh-CN"/>
        </w:rPr>
        <w:t>到的文件将被拒收。</w:t>
      </w:r>
    </w:p>
    <w:p>
      <w:pPr>
        <w:pStyle w:val="11"/>
        <w:spacing w:after="0" w:line="360" w:lineRule="auto"/>
        <w:ind w:firstLine="240" w:firstLineChars="1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7"/>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11"/>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人：贺老师、苏老师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联系电话：028-68939875、68939922</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cstheme="minorBidi"/>
                <w:bCs/>
                <w:color w:val="000000" w:themeColor="text1"/>
                <w:kern w:val="2"/>
                <w:sz w:val="21"/>
                <w:szCs w:val="21"/>
                <w:lang w:val="zh-CN"/>
                <w14:textFill>
                  <w14:solidFill>
                    <w14:schemeClr w14:val="tx1"/>
                  </w14:solidFill>
                </w14:textFill>
              </w:rPr>
              <w:t xml:space="preserve"> </w:t>
            </w:r>
            <w:r>
              <w:rPr>
                <w:rFonts w:hint="eastAsia" w:cstheme="minorBidi"/>
                <w:bCs/>
                <w:color w:val="000000" w:themeColor="text1"/>
                <w:kern w:val="2"/>
                <w:sz w:val="21"/>
                <w:szCs w:val="21"/>
                <w14:textFill>
                  <w14:solidFill>
                    <w14:schemeClr w14:val="tx1"/>
                  </w14:solidFill>
                </w14:textFill>
              </w:rPr>
              <w:t>11.54</w:t>
            </w:r>
            <w:r>
              <w:rPr>
                <w:rFonts w:cstheme="minorBidi"/>
                <w:bCs/>
                <w:color w:val="000000" w:themeColor="text1"/>
                <w:kern w:val="2"/>
                <w:sz w:val="21"/>
                <w:szCs w:val="21"/>
                <w:lang w:val="zh-CN"/>
                <w14:textFill>
                  <w14:solidFill>
                    <w14:schemeClr w14:val="tx1"/>
                  </w14:solidFill>
                </w14:textFill>
              </w:rPr>
              <w:t xml:space="preserve"> </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14:textFill>
                  <w14:solidFill>
                    <w14:schemeClr w14:val="tx1"/>
                  </w14:solidFill>
                </w14:textFill>
              </w:rPr>
              <w:t>11.54</w:t>
            </w:r>
            <w:r>
              <w:rPr>
                <w:rFonts w:cstheme="minorBidi"/>
                <w:bCs/>
                <w:color w:val="000000" w:themeColor="text1"/>
                <w:kern w:val="2"/>
                <w:sz w:val="21"/>
                <w:szCs w:val="21"/>
                <w:lang w:val="zh-CN"/>
                <w14:textFill>
                  <w14:solidFill>
                    <w14:schemeClr w14:val="tx1"/>
                  </w14:solidFill>
                </w14:textFill>
              </w:rPr>
              <w:t xml:space="preserve"> </w:t>
            </w:r>
            <w:r>
              <w:rPr>
                <w:rFonts w:hint="eastAsia" w:cstheme="minorBidi"/>
                <w:bCs/>
                <w:color w:val="000000" w:themeColor="text1"/>
                <w:kern w:val="2"/>
                <w:sz w:val="21"/>
                <w:szCs w:val="21"/>
                <w:lang w:val="zh-CN"/>
                <w14:textFill>
                  <w14:solidFill>
                    <w14:schemeClr w14:val="tx1"/>
                  </w14:solidFill>
                </w14:textFill>
              </w:rPr>
              <w:t>万元</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cs="Times New Roman"/>
                <w:sz w:val="22"/>
                <w:szCs w:val="22"/>
                <w:lang w:val="zh-CN"/>
              </w:rPr>
              <w:t>不正当竞争预防措施</w:t>
            </w:r>
          </w:p>
          <w:p>
            <w:pPr>
              <w:pStyle w:val="36"/>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rPr>
            </w:pPr>
            <w:r>
              <w:rPr>
                <w:rFonts w:hint="eastAsia" w:cs="Times New Roman"/>
                <w:sz w:val="22"/>
                <w:szCs w:val="22"/>
              </w:rPr>
              <w:t>信用记录查询</w:t>
            </w:r>
          </w:p>
          <w:p>
            <w:pPr>
              <w:pStyle w:val="3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合同分包</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联合体</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pStyle w:val="3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6"/>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5"/>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6"/>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582216"/>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7"/>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209847069"/>
      <w:bookmarkStart w:id="18" w:name="_Toc430773927"/>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ind w:firstLine="240" w:firstLineChars="100"/>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本项目包含两个会议室的信息化改造，分别是学校第二会议室和第三会议室。通过本项目的实施，在两个会议室安装视频、音频设备，以满足网络会议的要求。</w:t>
      </w:r>
    </w:p>
    <w:p>
      <w:pPr>
        <w:snapToGrid w:val="0"/>
        <w:spacing w:line="560" w:lineRule="exact"/>
        <w:ind w:firstLine="281" w:firstLineChars="100"/>
        <w:textAlignment w:val="baseline"/>
        <w:outlineLvl w:val="1"/>
        <w:rPr>
          <w:rFonts w:hAnsi="宋体"/>
          <w:sz w:val="24"/>
        </w:rPr>
      </w:pPr>
      <w:r>
        <w:rPr>
          <w:rFonts w:hint="eastAsia" w:ascii="宋体" w:hAnsi="宋体" w:eastAsia="宋体" w:cs="仿宋"/>
          <w:b/>
          <w:bCs/>
          <w:sz w:val="28"/>
          <w:szCs w:val="24"/>
          <w:lang w:val="zh-CN"/>
        </w:rPr>
        <w:t>二、技术</w:t>
      </w:r>
      <w:r>
        <w:rPr>
          <w:rFonts w:hint="eastAsia" w:ascii="宋体" w:hAnsi="宋体" w:eastAsia="宋体" w:cs="仿宋"/>
          <w:b/>
          <w:bCs/>
          <w:sz w:val="28"/>
          <w:szCs w:val="24"/>
        </w:rPr>
        <w:t>参数</w:t>
      </w:r>
      <w:r>
        <w:rPr>
          <w:rFonts w:hint="eastAsia" w:ascii="宋体" w:hAnsi="宋体" w:eastAsia="宋体" w:cs="仿宋"/>
          <w:b/>
          <w:bCs/>
          <w:sz w:val="28"/>
          <w:szCs w:val="24"/>
          <w:lang w:val="zh-CN"/>
        </w:rPr>
        <w:t>要求</w:t>
      </w:r>
    </w:p>
    <w:p>
      <w:pPr>
        <w:snapToGrid w:val="0"/>
        <w:spacing w:line="560" w:lineRule="exact"/>
        <w:textAlignment w:val="baseline"/>
        <w:rPr>
          <w:rFonts w:hAnsi="宋体"/>
          <w:sz w:val="24"/>
        </w:rPr>
      </w:pPr>
      <w:r>
        <w:rPr>
          <w:rFonts w:hint="eastAsia" w:hAnsi="宋体"/>
          <w:sz w:val="24"/>
        </w:rPr>
        <w:t>（一）</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drawing>
          <wp:anchor distT="0" distB="0" distL="114300" distR="114300" simplePos="0" relativeHeight="251661312" behindDoc="1" locked="0" layoutInCell="1" allowOverlap="1">
            <wp:simplePos x="0" y="0"/>
            <wp:positionH relativeFrom="column">
              <wp:posOffset>1206500</wp:posOffset>
            </wp:positionH>
            <wp:positionV relativeFrom="paragraph">
              <wp:posOffset>392430</wp:posOffset>
            </wp:positionV>
            <wp:extent cx="3027045" cy="2665095"/>
            <wp:effectExtent l="0" t="0" r="5715" b="190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rcRect b="9823"/>
                    <a:stretch>
                      <a:fillRect/>
                    </a:stretch>
                  </pic:blipFill>
                  <pic:spPr>
                    <a:xfrm>
                      <a:off x="0" y="0"/>
                      <a:ext cx="3027045" cy="2665095"/>
                    </a:xfrm>
                    <a:prstGeom prst="rect">
                      <a:avLst/>
                    </a:prstGeom>
                    <a:ln>
                      <a:noFill/>
                    </a:ln>
                  </pic:spPr>
                </pic:pic>
              </a:graphicData>
            </a:graphic>
          </wp:anchor>
        </w:drawing>
      </w:r>
      <w:r>
        <w:rPr>
          <w:rFonts w:hint="eastAsia" w:ascii="宋体" w:hAnsi="宋体" w:eastAsia="宋体" w:cs="Times New Roman"/>
          <w:sz w:val="24"/>
          <w:szCs w:val="24"/>
        </w:rPr>
        <w:t>第二会议室的平面图如下：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drawing>
          <wp:anchor distT="0" distB="0" distL="114300" distR="114300" simplePos="0" relativeHeight="251662336" behindDoc="0" locked="0" layoutInCell="1" allowOverlap="1">
            <wp:simplePos x="0" y="0"/>
            <wp:positionH relativeFrom="column">
              <wp:posOffset>1402080</wp:posOffset>
            </wp:positionH>
            <wp:positionV relativeFrom="paragraph">
              <wp:posOffset>411480</wp:posOffset>
            </wp:positionV>
            <wp:extent cx="2838450" cy="2613025"/>
            <wp:effectExtent l="0" t="0" r="11430" b="825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38450" cy="2613025"/>
                    </a:xfrm>
                    <a:prstGeom prst="rect">
                      <a:avLst/>
                    </a:prstGeom>
                  </pic:spPr>
                </pic:pic>
              </a:graphicData>
            </a:graphic>
          </wp:anchor>
        </w:drawing>
      </w:r>
      <w:r>
        <w:rPr>
          <w:rFonts w:hint="eastAsia" w:ascii="宋体" w:hAnsi="宋体" w:eastAsia="宋体" w:cs="Times New Roman"/>
          <w:sz w:val="24"/>
          <w:szCs w:val="24"/>
        </w:rPr>
        <w:t>第三会议室的平面图如下：</w:t>
      </w:r>
      <w:r>
        <w:rPr>
          <w:rFonts w:hint="eastAsia" w:ascii="宋体" w:hAnsi="宋体" w:eastAsia="宋体" w:cs="Times New Roman"/>
          <w:sz w:val="24"/>
          <w:szCs w:val="24"/>
        </w:rPr>
        <w:br w:type="textWrapping"/>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690"/>
        <w:gridCol w:w="758"/>
        <w:gridCol w:w="6160"/>
        <w:gridCol w:w="545"/>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253" w:type="pct"/>
            <w:shd w:val="clear" w:color="auto" w:fill="auto"/>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序</w:t>
            </w:r>
          </w:p>
        </w:tc>
        <w:tc>
          <w:tcPr>
            <w:tcW w:w="376" w:type="pct"/>
            <w:vAlign w:val="center"/>
          </w:tcPr>
          <w:p>
            <w:pPr>
              <w:spacing w:line="360" w:lineRule="auto"/>
              <w:rPr>
                <w:rFonts w:ascii="宋体" w:hAnsi="宋体" w:eastAsia="宋体" w:cs="Times New Roman"/>
                <w:sz w:val="24"/>
                <w:szCs w:val="24"/>
              </w:rPr>
            </w:pPr>
          </w:p>
        </w:tc>
        <w:tc>
          <w:tcPr>
            <w:tcW w:w="41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品名</w:t>
            </w:r>
          </w:p>
        </w:tc>
        <w:tc>
          <w:tcPr>
            <w:tcW w:w="3356"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技术规格、配置要求及服务要求</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数量</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restar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第二会议室</w:t>
            </w: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会议平板</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UHD 液晶屏体，A 规屏，显示尺寸：86英寸，显示比例 16:9，分辨率：3840*2160。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▲2、sRGB 标准下色彩覆盖率不低于 100%，最高灰阶不低于 256 灰阶。在 4K分辨率下刷新频率不低于 60Hz。开机后无需任何操作交互平板自适应物理防蓝光功能。（提供具有 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3、采用防火防护外壳，屏体表面采用防眩钢化玻璃，表面硬度不低于莫氏 7级,厚度≤3.5mm，雾度≤8%。</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4、采用红外触控技术，能在 Windows 系统和 Android 系统中进行 20 点或以上触控和书写。触摸高度≤2mm；最小识别直径≤2mm，书写延迟速度≤15ms。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5、屏体正面前置标准的 USB3.0 接口、USB Type-C 接口、HDMI 高清接口（非转接方式）。前置接口面板支持前拆式维护。其他接口：HDMI2.0 接口、RJ45 接口、USB Type-B 触控接口、VGA 接口、无线 MIC 接口。</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6、前置电脑还原、触控开关、关闭窗口、护眼等按键；前置按键面板支持前拆式维护。</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▲7、顶置一体化高清摄像头，像素不低于 1300 万，水平视角≥120°，畸变不大于 5%；支持远程视频巡课、点名、点数。内置四阵列麦克风，拾音角度≥150°，有效拾音距离≥10 米。（提供具有 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8、内置无线传屏接收端，无需外部接收组件，无线传屏发射器与智能交互平板匹配后可实现无线传屏功能，可将外部电脑设备的视频、音频、触控、信号无线传至智能交互平板上，双向传输。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▲9、在不切换系统下，可快速调节 windows 与 Android 设置，对网络、亮度、声音等功能设置。在windows 与 Android下所有书写笔可实现相互联动。支持手势息屏、手势滑动屏幕切换Windows 桌面和教学系统桌面。（提供具有CMA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▲10、采用内置模块化电脑方案，处理器：CPU 采用性能不低于 Intel 第10代 CoffeeLake 平台处理器酷睿 I5 处理器。硬盘：512G 固态硬盘或以上配置。内存：8G DDR4 笔记本内存或以上配置。预装WIN10正版操作系统和办公软件，同时也支持安装为国产化系统。</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▲11、提供三种及以上登陆方式。软件首页界面中包括白板软件、资源、多屏互动、展台、微课等内容。（提供具有CMA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12、配备移动支架。</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摄像头</w:t>
            </w:r>
          </w:p>
        </w:tc>
        <w:tc>
          <w:tcPr>
            <w:tcW w:w="3356" w:type="pct"/>
            <w:shd w:val="clear" w:color="auto" w:fill="auto"/>
            <w:noWrap/>
            <w:vAlign w:val="center"/>
          </w:tcPr>
          <w:p>
            <w:pPr>
              <w:spacing w:line="360" w:lineRule="auto"/>
              <w:rPr>
                <w:rFonts w:ascii="宋体" w:hAnsi="宋体" w:eastAsia="宋体" w:cs="Times New Roman"/>
                <w:sz w:val="24"/>
                <w:szCs w:val="24"/>
              </w:rPr>
            </w:pPr>
            <w:r>
              <w:rPr>
                <w:rFonts w:ascii="宋体" w:hAnsi="宋体" w:eastAsia="宋体" w:cs="Times New Roman"/>
                <w:sz w:val="24"/>
                <w:szCs w:val="24"/>
              </w:rPr>
              <w:t>一流图像质量：采用1/2.9英寸207万像素高品质图像传感器，最大分辨率可达1920×1080，输出帧率高达30帧/秒，呈现清晰逼真的高清视频，生动地展现人物的表情和动作。</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LED条幅屏</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物理点间距：4.75mm</w:t>
            </w:r>
          </w:p>
          <w:p>
            <w:pPr>
              <w:spacing w:line="360" w:lineRule="auto"/>
              <w:rPr>
                <w:rFonts w:ascii="宋体" w:hAnsi="宋体" w:eastAsia="宋体" w:cs="Times New Roman"/>
                <w:sz w:val="24"/>
                <w:szCs w:val="24"/>
              </w:rPr>
            </w:pPr>
            <w:r>
              <w:rPr>
                <w:rFonts w:hint="eastAsia" w:ascii="宋体" w:hAnsi="宋体" w:eastAsia="宋体" w:cs="Times New Roman"/>
                <w:sz w:val="24"/>
                <w:szCs w:val="24"/>
              </w:rPr>
              <w:t>发光点颜色：1红</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控制方式：恒流控制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扫描方式: 1/16扫描</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模组分辨率：64点*32点</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模组尺寸：304mm*152mm</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3.77</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会议音箱</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1、扬声器单位规格≥4*3.5″；</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2、额定频率范围（-10dB）≥100Hz-19KHz；</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3、特性灵敏度≥93 dB/m/w;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4、连续声压级≥115 dB/m/w;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5、最大声压级≥121 dBdB/m/w;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6、额定功率（RMS)≥150W；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▲7、纯音检测：人耳监听无垃圾或异常声；（提供具有CMA 或 CNAS 标识的第三方机构出具的检测报告复印件）</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功率放大器</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1、额定功率：2×200W/8Ω，2×300W/4Ω，1×600W/8Ω；</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2、频率响应：20Hz～20kHz +1,-3dB；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3、输入灵敏度：0dBu（0.775V）；</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4、输入阻抗：平衡20kΩ，非平衡10kΩ；</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5、总谐波失真(1/10额定功率，1KHz)：≤0.1%；</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6、信噪比(A计权)：≥100dB；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7、最大功率消耗：850W；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8、电压适应范围：AC110-240V，50Hz/60Hz </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反馈抑制器</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1、采用双DSP设计，内置≥18段A、B双通道高精度数字限波器，可精准找到啸叫的频率点而将其消除，同时兼具自动移相移频功能；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2、配备≥双12段参量均衡，高低通滤波，进而对不同的环境声学缺陷进行修正；</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3、压缩功能，压缩阀值-40～12dB可调，步进1dB；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4、配备≥4个场景保存调用功能，可保存和调用≥4个场景的12段均衡和啸叫抵制滤波器的参数，下次开机，会自动调用；</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5、监测速度：高/中/低可选，输出电平：高/中/低可选</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6、2寸TFT液晶显示屏；</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7、密码锁定和解锁功能，中英文语言选择功能，支持PC软件全功能控制。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8、频率响应≥180Hz～15kHz ±2dB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9、总谐波失真(1kHz)：≤0.01%；</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10、信噪比(A计权)：≥105dB；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11、最大输入电平：≥18dBu，最大输出电平：≥11dBu；</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12、串音：≥100dB，增益差：≤0.5dB</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调音台</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1、频率响应：20Hz～20kHz ±1dB；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2、总谐波失真：≤0.05%@0dBu，1kHz；</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3、信噪比：≥98dB；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4、最大输出电平：≥18dBu</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会议主机</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▲1、会议主机支持无线传输与有线传输2种方式，无线会议单元与有线会议单元可以共用一个系统；（提供具有CMA 或 CNAS 标识的第三方机构出具的检测报告复印件）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2、会议主机具有LCD显示屏，分级菜单显示，且有电量显示、欠压警告、频率信道和信号指示等显示功能；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3、会议系统具有轮替模式、限制模式、主席专有多种会议发言模式；</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4、会议主机可外接视像跟踪模块，实现会议单元的视像跟踪功能；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▲5、功能接口：会议主机具有4路ANT信号接口、RS232接口、无线单元音频输出接口、有线单元音频输出接口、系统移频功能开关，音频混合输出接口、音频混合平衡输出接口、DSP音效调节控制接口；（提供具有CMA 或 CNAS 标识的第三方机构出具的检测报告复印件）</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主席单元(无线)</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1、新颖的结构设计，驻极体超心形指向性话筒，方管电容话筒；</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2、主席话筒具有主席优先功能键，可一键关闭所有代表话筒</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3、单元具有抗手机、电磁、高频干扰能力；</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4、LCD显示屏，可显示话筒状态及系统菜单；</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5、会议单元具有独立电源开关键，智能电路管理电池电量、具有实时电量显示；</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6、具有话筒开关按键，按下开关键咪管指示灯环亮，话筒为开启状态；</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▲7、单元具有至少5个表决操作功能按键，配合会议系统专用管理软件具有投票、表决类功能；（提供具有CMA 或 CNAS 标识的第三方机构出具的检测报告复印件）</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客席单元(无线)</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1、新颖的结构设计，驻极体超心形指向性话筒，方管电容话筒；</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2、单元具有抗手机、电磁、高频干扰能力；</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3、LCD显示屏，可显示话筒状态及系统菜单；</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4、会议单元具有独立电源开关键，智能电路管理电池量、具有实时电量显示；</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5、具有话筒开关按键，按下开关键咪管指示灯环亮，话筒为开启状态；</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6、单元具有至少5个表决操作功能按键，配合会议系统专用管理软件具有投票、表决类功能；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7、单元采用3节5号普通干电池供电方式，超低功耗，列席单元大于8小时的连续发言时间和大于20小时的待机时间；</w:t>
            </w:r>
          </w:p>
          <w:p>
            <w:pPr>
              <w:spacing w:line="360" w:lineRule="auto"/>
              <w:rPr>
                <w:rFonts w:ascii="宋体" w:hAnsi="宋体" w:eastAsia="宋体" w:cs="Times New Roman"/>
                <w:sz w:val="24"/>
                <w:szCs w:val="24"/>
              </w:rPr>
            </w:pPr>
            <w:r>
              <w:rPr>
                <w:rFonts w:hint="eastAsia" w:ascii="宋体" w:hAnsi="宋体" w:eastAsia="宋体" w:cs="Times New Roman"/>
                <w:sz w:val="24"/>
                <w:szCs w:val="24"/>
              </w:rPr>
              <w:t>8、音频通信方式：超高频无线电波</w:t>
            </w:r>
          </w:p>
          <w:p>
            <w:pPr>
              <w:spacing w:line="360" w:lineRule="auto"/>
              <w:rPr>
                <w:rFonts w:ascii="宋体" w:hAnsi="宋体" w:eastAsia="宋体" w:cs="Times New Roman"/>
                <w:sz w:val="24"/>
                <w:szCs w:val="24"/>
              </w:rPr>
            </w:pPr>
            <w:r>
              <w:rPr>
                <w:rFonts w:hint="eastAsia" w:ascii="宋体" w:hAnsi="宋体" w:eastAsia="宋体" w:cs="Times New Roman"/>
                <w:sz w:val="24"/>
                <w:szCs w:val="24"/>
              </w:rPr>
              <w:t>9、咪管长度：240mm</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机柜</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1、采用的高密度防火饰面胶合板板材，抗划伤。</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2、挂锁、抽手、球包、中角直码采用镀铬金属件，防锈能力强。</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3、脚轮（带刹车）承载重量达200Kg。</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辅材</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1、设备接插件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2、设备跳线</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3、其它需要配套的材料</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技术服务费</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1、设备安装</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2、系统调试</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3、使用培训</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4、售后服务</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restar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第三会议室</w:t>
            </w: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会议平板</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1、UHD 液晶屏体，A 规屏，显示尺寸：98英寸，显示比例 16:9，分辨率：3840*2160。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▲2、sRGB 标准下色彩覆盖率不低于 100%，最高灰阶不低于 256 灰阶。在 4K分辨率下刷新频率不低于 60Hz。开机后无需任何操作交互平板自适应物理防蓝光功能。（提供具有 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3、采用防火防护外壳，屏体表面采用防眩钢化玻璃，表面硬度不低于莫氏 7级,厚度≤3.5mm，雾度≤8%。</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4、采用红外触控技术，能在 Windows 系统和 Android 系统中进行 20 点或以上触控和书写。触摸高度≤2mm；最小识别直径≤2mm，书写延迟速度≤15ms。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5、屏体正面前置标准的 USB3.0 接口、USB Type-C 接口、HDMI 高清接口（非转接方式）。前置接口面板支持前拆式维护。其他接口：HDMI2.0 接口、RJ45 接口、USB Type-B 触控接口、VGA 接口、无线 MIC 接口。</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6、前置电脑还原、触控开关、关闭窗口、护眼等按键；前置按键面板支持前拆式维护。</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▲7、顶置一体化高清摄像头，像素不低于 1300 万，水平视角≥120°，畸变不大于 5%；支持远程视频巡课、点名、点数。内置四阵列麦克风，拾音角度≥150°，有效拾音距离≥10 米。（提供具有 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8、内置无线传屏接收端，无需外部接收组件，无线传屏发射器与智能交互平板匹配后可实现无线传屏功能，可将外部电脑设备的视频、音频、触控、信号无线传至智能交互平板上，双向传输。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▲9、在不切换系统下，可快速调节 windows 与 Android 设置，对网络、亮度、声音等功能设置。在windows 与 Android下所有书写笔可实现相互联动。支持手势息屏、手势滑动屏幕切换Windows 桌面和教学系统桌面。（提供具有CMA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▲10、采用内置模块化电脑方案，处理器：CPU 采用性能不低于 Intel 第10代 CoffeeLake 平台处理器酷睿 I5 处理器。硬盘：512G 固态硬盘或以上配置。内存：8G DDR4 笔记本内存或以上配置。预装WIN10正版操作系统和办公软件，同时也支持安装为国产化系统。</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▲11、提供三种及以上登陆方式。软件首页界面中包括白板软件、资源、多屏互动、展台、微课等内容。（提供具有CMA 或 CNAS 标识的第三方机构出具的检测报告复印件） </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12、</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13、配备移动支架。</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摄像头</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一流图像质量：采用1/2.9英寸207万像素高品质图像传感器，最大分辨率可达1920×1080，输出帧率高达30帧/秒，呈现清晰逼真的高清视频，生动地展现人物的表情和动作。</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LED条幅屏</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物理点间距：4.75mm</w:t>
            </w:r>
          </w:p>
          <w:p>
            <w:pPr>
              <w:spacing w:line="360" w:lineRule="auto"/>
              <w:rPr>
                <w:rFonts w:ascii="宋体" w:hAnsi="宋体" w:eastAsia="宋体" w:cs="Times New Roman"/>
                <w:sz w:val="24"/>
                <w:szCs w:val="24"/>
              </w:rPr>
            </w:pPr>
            <w:r>
              <w:rPr>
                <w:rFonts w:hint="eastAsia" w:ascii="宋体" w:hAnsi="宋体" w:eastAsia="宋体" w:cs="Times New Roman"/>
                <w:sz w:val="24"/>
                <w:szCs w:val="24"/>
              </w:rPr>
              <w:t>发光点颜色：1红</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控制方式：恒流控制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扫描方式: 1/16扫描</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模组分辨率：64点*32点</w:t>
            </w:r>
          </w:p>
          <w:p>
            <w:pPr>
              <w:spacing w:line="360" w:lineRule="auto"/>
              <w:rPr>
                <w:rFonts w:ascii="宋体" w:hAnsi="宋体" w:eastAsia="宋体" w:cs="Times New Roman"/>
                <w:sz w:val="24"/>
                <w:szCs w:val="24"/>
              </w:rPr>
            </w:pPr>
            <w:r>
              <w:rPr>
                <w:rFonts w:hint="eastAsia" w:ascii="宋体" w:hAnsi="宋体" w:eastAsia="宋体" w:cs="Times New Roman"/>
                <w:sz w:val="24"/>
                <w:szCs w:val="24"/>
              </w:rPr>
              <w:t>模组尺寸：304mm*152mm</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3.09</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会议音箱</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1、扬声器单位规格≥4*3.5″；</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2、额定频率范围（-10dB）≥100Hz-19KHz；</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3、特性灵敏度≥93 dB/m/w;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4、连续声压级≥115 dB/m/w;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5、最大声压级≥121 dBdB/m/w;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6、额定功率（RMS)≥150W；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7、纯音检测：人耳监听无垃圾或异常声；</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功率放大器</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1、额定功率：2×200W/8Ω，2×300W/4Ω，1×600W/8Ω；</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2、频率响应：20Hz～20kHz +1,-3dB；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3、输入灵敏度：0dBu（0.775V）；</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4、输入阻抗：平衡20kΩ，非平衡10kΩ；</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5、总谐波失真(1/10额定功率，1KHz)：≤0.1%；</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6、信噪比(A计权)：≥100dB；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7、最大功率消耗：850W；</w:t>
            </w: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8、电压适应范围：AC110-240V，50Hz/60Hz </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反馈抑制器</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1、采用双DSP设计，内置≥18段A、B双通道高精度数字限波器，可精准找到啸叫的频率点而将其消除，同时兼具自动移相移频功能；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2、配备≥双12段参量均衡，高低通滤波，进而对不同的环境声学缺陷进行修正；</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3、压缩功能，压缩阀值-40～12dB可调，步进1dB；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4、配备≥4个场景保存调用功能，可保存和调用≥4个场景的12段均衡和啸叫抵制滤波器的参数，下次开机，会自动调用；</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5、监测速度：高/中/低可选，输出电平：高/中/低可选</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6、2寸TFT液晶显示屏；</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7、密码锁定和解锁功能，中英文语言选择功能，PC软件全功能控制。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8、频率响应≥180Hz～15kHz ±2dB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9、总谐波失真(1kHz)：≤0.01%；</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10、信噪比(A计权)：≥105dB；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11、最大输入电平：≥18dBu，最大输出电平：≥11dBu；</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12、串音：≥100dB，增益差：≤0.5dB</w:t>
            </w:r>
          </w:p>
          <w:p>
            <w:pPr>
              <w:spacing w:line="360" w:lineRule="auto"/>
              <w:rPr>
                <w:rFonts w:ascii="宋体" w:hAnsi="宋体" w:eastAsia="宋体" w:cs="Times New Roman"/>
                <w:sz w:val="24"/>
                <w:szCs w:val="24"/>
              </w:rPr>
            </w:pP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调音台</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1、频率响应：20Hz～20kHz ±1dB；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2、总谐波失真：≤0.06%@0dBu，1kHz；</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3、信噪比：≥97dB；</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4、最大输出电平：≥18dBu</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会议主机</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会议主机支持无线传输与有线传输2种方式，无线会议单元与有线会议单元可以共用一个系统；</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2、会议主机具有LCD显示屏，分级菜单显示，且有电量显示、欠压警告、频率信道和信号指示等显示功能；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3、会议系统具有轮替模式、限制模式、主席专有多种会议发言模式；</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4、会议主机可外接视像跟踪模块，实现会议单元的视像跟踪功能；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5、功能接口：会议主机具有4路ANT信号接口、RS232接口、无线单元音频输出接口、有线单元音频输出接口、系统移频功能开关，音频混合输出接口、音频混合平衡输出接口、DSP音效调节控制接口；</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主席单元(无线)</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1、新颖的结构设计，驻极体超心形指向性话筒，方管电容话筒；</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2、主席话筒具有主席优先功能键，可一键关闭所有代表话筒</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3、单元具有抗手机、电磁、高频干扰能力；</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4、LCD显示屏，可显示话筒状态及系统菜单；</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5、会议单元具有独立电源开关键，智能电路管理电池电量、具有实时电量显示；</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6、具有话筒开关按键，按下开关键咪管指示灯环亮，话筒为开启状态；</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7、单元具有至少5个表决操作功能按键，配合会议系统专用管理软件具有投票、表决类功能；</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客席单元(无线)</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1、驻极体超心形指向性话筒，方管电容话筒；</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2、单元具有抗手机、电磁、高频干扰能力；</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3、LCD显示屏，可显示话筒状态及系统菜单；</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4、会议单元具有独立电源开关键，智能电路管理电池电量、具有实时电量显示；</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5、具有话筒开关按键，按下开关键咪管指示灯环亮，话筒为开启状态；</w:t>
            </w:r>
          </w:p>
          <w:p>
            <w:pPr>
              <w:spacing w:line="360" w:lineRule="auto"/>
              <w:rPr>
                <w:rFonts w:ascii="宋体" w:hAnsi="宋体" w:eastAsia="宋体" w:cs="Times New Roman"/>
                <w:sz w:val="24"/>
                <w:szCs w:val="24"/>
              </w:rPr>
            </w:pPr>
            <w:r>
              <w:rPr>
                <w:rFonts w:hint="eastAsia" w:ascii="宋体" w:hAnsi="宋体" w:eastAsia="宋体" w:cs="Times New Roman"/>
                <w:sz w:val="24"/>
                <w:szCs w:val="24"/>
              </w:rPr>
              <w:t>6、单元具有至少5个表决操作功能按键，配合会议系统专用管理软件具有投票、表决类功能；</w:t>
            </w:r>
          </w:p>
          <w:p>
            <w:pPr>
              <w:spacing w:line="360" w:lineRule="auto"/>
              <w:rPr>
                <w:rFonts w:ascii="宋体" w:hAnsi="宋体" w:eastAsia="宋体" w:cs="Times New Roman"/>
                <w:sz w:val="24"/>
                <w:szCs w:val="24"/>
              </w:rPr>
            </w:pPr>
            <w:r>
              <w:rPr>
                <w:rFonts w:hint="eastAsia" w:ascii="宋体" w:hAnsi="宋体" w:eastAsia="宋体" w:cs="Times New Roman"/>
                <w:sz w:val="24"/>
                <w:szCs w:val="24"/>
              </w:rPr>
              <w:t>7、单元采用3节5号普通干电池供电方式，超低功耗，列席单元大于8小时的连续发言时间和大于20小时的待机时间；</w:t>
            </w:r>
          </w:p>
          <w:p>
            <w:pPr>
              <w:spacing w:line="360" w:lineRule="auto"/>
              <w:rPr>
                <w:rFonts w:ascii="宋体" w:hAnsi="宋体" w:eastAsia="宋体" w:cs="Times New Roman"/>
                <w:sz w:val="24"/>
                <w:szCs w:val="24"/>
              </w:rPr>
            </w:pPr>
            <w:r>
              <w:rPr>
                <w:rFonts w:hint="eastAsia" w:ascii="宋体" w:hAnsi="宋体" w:eastAsia="宋体" w:cs="Times New Roman"/>
                <w:sz w:val="24"/>
                <w:szCs w:val="24"/>
              </w:rPr>
              <w:t>8、音频通信方式：超高频无线电波</w:t>
            </w:r>
          </w:p>
          <w:p>
            <w:pPr>
              <w:spacing w:line="360" w:lineRule="auto"/>
              <w:rPr>
                <w:rFonts w:ascii="宋体" w:hAnsi="宋体" w:eastAsia="宋体" w:cs="Times New Roman"/>
                <w:sz w:val="24"/>
                <w:szCs w:val="24"/>
              </w:rPr>
            </w:pPr>
            <w:r>
              <w:rPr>
                <w:rFonts w:hint="eastAsia" w:ascii="宋体" w:hAnsi="宋体" w:eastAsia="宋体" w:cs="Times New Roman"/>
                <w:sz w:val="24"/>
                <w:szCs w:val="24"/>
              </w:rPr>
              <w:t>9、咪管长度：240mm</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机柜</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1、采用的高密度防火饰面胶合板板材，抗划伤。</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2、挂锁、抽手、球包、中角直码采用镀铬金属件，防锈能力强。</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3、脚轮（带刹车）承载重量达200Kg。</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辅材</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1、设备接插件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2、设备跳线</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3、其它需要配套的材料</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53" w:type="pct"/>
            <w:shd w:val="clear" w:color="auto" w:fill="auto"/>
            <w:noWrap/>
            <w:vAlign w:val="center"/>
          </w:tcPr>
          <w:p>
            <w:pPr>
              <w:spacing w:line="360" w:lineRule="auto"/>
              <w:rPr>
                <w:rFonts w:ascii="宋体" w:hAnsi="宋体" w:eastAsia="宋体" w:cs="Times New Roman"/>
                <w:sz w:val="24"/>
                <w:szCs w:val="24"/>
              </w:rPr>
            </w:pPr>
          </w:p>
        </w:tc>
        <w:tc>
          <w:tcPr>
            <w:tcW w:w="376" w:type="pct"/>
            <w:vMerge w:val="continue"/>
          </w:tcPr>
          <w:p>
            <w:pPr>
              <w:spacing w:line="360" w:lineRule="auto"/>
              <w:rPr>
                <w:rFonts w:ascii="宋体" w:hAnsi="宋体" w:eastAsia="宋体" w:cs="Times New Roman"/>
                <w:sz w:val="24"/>
                <w:szCs w:val="24"/>
              </w:rPr>
            </w:pPr>
          </w:p>
        </w:tc>
        <w:tc>
          <w:tcPr>
            <w:tcW w:w="413"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技术服务费</w:t>
            </w:r>
          </w:p>
        </w:tc>
        <w:tc>
          <w:tcPr>
            <w:tcW w:w="3356" w:type="pct"/>
            <w:shd w:val="clear" w:color="auto" w:fill="auto"/>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1、设备安装</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2、系统调试</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3、使用培训</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▲4、售后服务(供应商所投会议平板、会议主机品牌制造商提供售后服务承诺函，未提供视为负偏离）</w:t>
            </w:r>
          </w:p>
        </w:tc>
        <w:tc>
          <w:tcPr>
            <w:tcW w:w="297"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303" w:type="pct"/>
            <w:shd w:val="clear" w:color="auto" w:fill="auto"/>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项</w:t>
            </w:r>
          </w:p>
        </w:tc>
      </w:tr>
    </w:tbl>
    <w:p>
      <w:pPr>
        <w:snapToGrid w:val="0"/>
        <w:spacing w:line="560" w:lineRule="exact"/>
        <w:ind w:firstLine="281" w:firstLineChars="100"/>
        <w:textAlignment w:val="baseline"/>
        <w:outlineLvl w:val="1"/>
        <w:rPr>
          <w:rFonts w:ascii="宋体" w:hAnsi="宋体" w:eastAsia="宋体" w:cs="仿宋"/>
          <w:b/>
          <w:bCs/>
          <w:sz w:val="28"/>
          <w:szCs w:val="24"/>
          <w:lang w:val="zh-CN"/>
        </w:rPr>
      </w:pPr>
      <w:r>
        <w:rPr>
          <w:rFonts w:hint="eastAsia" w:ascii="宋体" w:hAnsi="宋体" w:eastAsia="宋体" w:cs="仿宋"/>
          <w:b/>
          <w:bCs/>
          <w:sz w:val="28"/>
          <w:szCs w:val="24"/>
          <w:lang w:val="zh-CN"/>
        </w:rPr>
        <w:t>三、服务要求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1.产品质保期与服务期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所有设备质保期三年。质保服务包括：供应商提供的产品出现质量问题，应无条件维修或更换，并实行上门服务；供应商提供的产品出现故障或质量问题，供应商在接到通知后，24小时内到达现场，及时排除故障并恢复正常运行；每年至少2次日常上门巡检。</w:t>
      </w:r>
    </w:p>
    <w:p>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（2）供应商提供用户基础技术培训，并提供7*24电话和远程技术支持。</w:t>
      </w:r>
    </w:p>
    <w:p>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3）用户权利要求：供应商必须保障采购方使用其产品、服务及其任何部分不受到第三方关于侵犯所有权、商标权或工业设计权的指控。任何第三方如果提出指控，供方必须与第三方交涉并承担由此引起的一切法律责任和费用。供应商提供的数据必须真实可靠，没有虚假成份。严禁提供网络上下载或者剽窃任何第三方的数据、产品。</w:t>
      </w:r>
    </w:p>
    <w:p>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（4）供应商承诺中标后在项目所在地拥有分支机构或办事处或分公司。</w:t>
      </w:r>
    </w:p>
    <w:p>
      <w:pPr>
        <w:spacing w:line="360" w:lineRule="auto"/>
        <w:ind w:firstLine="200"/>
        <w:rPr>
          <w:rFonts w:ascii="宋体" w:hAnsi="宋体" w:eastAsia="宋体" w:cs="Times New Roman"/>
          <w:sz w:val="24"/>
          <w:szCs w:val="24"/>
        </w:rPr>
      </w:pPr>
      <w:r>
        <w:rPr>
          <w:rFonts w:hint="eastAsia" w:ascii="宋体" w:hAnsi="宋体" w:eastAsia="宋体" w:cs="Times New Roman"/>
          <w:sz w:val="24"/>
          <w:szCs w:val="24"/>
        </w:rPr>
        <w:t>本条所述质保期以验收合格之日起计算。</w:t>
      </w:r>
    </w:p>
    <w:p>
      <w:pPr>
        <w:numPr>
          <w:ilvl w:val="0"/>
          <w:numId w:val="6"/>
        </w:numPr>
        <w:autoSpaceDE w:val="0"/>
        <w:autoSpaceDN w:val="0"/>
        <w:spacing w:line="520" w:lineRule="exact"/>
        <w:ind w:firstLine="562" w:firstLineChars="200"/>
        <w:outlineLvl w:val="1"/>
        <w:rPr>
          <w:rFonts w:ascii="宋体" w:hAnsi="宋体" w:eastAsia="宋体" w:cs="Times New Roman"/>
          <w:b/>
          <w:bCs/>
          <w:sz w:val="28"/>
          <w:szCs w:val="24"/>
          <w:lang w:val="zh-CN"/>
        </w:rPr>
      </w:pPr>
      <w:r>
        <w:rPr>
          <w:rFonts w:hint="eastAsia" w:ascii="宋体" w:hAnsi="宋体" w:eastAsia="宋体" w:cs="Times New Roman"/>
          <w:b/>
          <w:bCs/>
          <w:sz w:val="28"/>
          <w:szCs w:val="24"/>
          <w:lang w:val="zh-CN"/>
        </w:rPr>
        <w:t>商务要求（</w:t>
      </w:r>
      <w:r>
        <w:rPr>
          <w:rFonts w:hint="eastAsia" w:ascii="宋体" w:hAnsi="宋体" w:eastAsia="宋体" w:cs="Times New Roman"/>
          <w:b/>
          <w:bCs/>
          <w:sz w:val="28"/>
          <w:szCs w:val="24"/>
        </w:rPr>
        <w:t>实质性要求</w:t>
      </w:r>
      <w:r>
        <w:rPr>
          <w:rFonts w:hint="eastAsia" w:ascii="宋体" w:hAnsi="宋体" w:eastAsia="宋体" w:cs="Times New Roman"/>
          <w:b/>
          <w:bCs/>
          <w:sz w:val="28"/>
          <w:szCs w:val="24"/>
          <w:lang w:val="zh-CN"/>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1.交货期及地点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交货期：供应商于合同签订后15日内完成所有设备的安装和调试。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交货地点:成都市郫都区安德街道彭温路399号（四川铁道职业学院安德校区）。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2.付款方法和条件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项目按预付款和尾款的方式分两次支付，其中第一次付款为中标金额的70%，尾款为中标金额的30%。在合同签订后7个工作日内，供应商向采购方转账缴纳中标金额5%的履约保证金；采购方收到履约保证金及供应商开具的与第一次付款等额的增值税发票，于10个工日内向供应商支付；项目完成并验收通过后，采购方在收到供应商开具的与尾款等额的增值税发票，于10个工作日内完成尾款支付。项目质保期满，对项目资产、服务和资料等验收合格后，在收到供应商的退款财务凭证后10个工作日内，采购方以转账方式退回无息履约保证金。</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3.安装调试及验收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1安装调试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供应商于合同签订后15日内，在采购方指定的位置完成所有设备的安装和调试。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验收标准以采购文件技术参数及要求和相关行业标准为准。在所有设备安装调试完成后，由采购方组织验收，验收质量不合格内容，供应商应于5日内完成整改，再次组织验收。经两次整改仍不合格的，采购方有权中止项目，并由供应商提供合同总额5%的赔偿费用，造成其他损失的另行计算。验收时，采购方还应提供所采设备的合格证书和使用手册（定制产品除外）。</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br w:type="page"/>
      </w:r>
    </w:p>
    <w:p>
      <w:pPr>
        <w:pStyle w:val="5"/>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w:t>
      </w:r>
      <w:r>
        <w:rPr>
          <w:rFonts w:hint="eastAsia" w:ascii="宋体" w:hAnsi="宋体" w:eastAsia="宋体"/>
          <w:sz w:val="24"/>
          <w:szCs w:val="24"/>
          <w:lang w:eastAsia="zh-CN"/>
        </w:rPr>
        <w:t>比选评审</w:t>
      </w:r>
      <w:r>
        <w:rPr>
          <w:rFonts w:hint="eastAsia" w:ascii="宋体" w:hAnsi="宋体" w:eastAsia="宋体"/>
          <w:sz w:val="24"/>
          <w:szCs w:val="24"/>
        </w:rPr>
        <w:t>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比选</w:t>
      </w:r>
      <w:r>
        <w:rPr>
          <w:rFonts w:hint="eastAsia" w:ascii="宋体" w:hAnsi="宋体" w:eastAsia="宋体"/>
          <w:sz w:val="24"/>
          <w:szCs w:val="24"/>
        </w:rPr>
        <w:t xml:space="preserve">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w:t>
      </w:r>
      <w:r>
        <w:rPr>
          <w:rFonts w:hint="eastAsia" w:ascii="宋体" w:hAnsi="宋体" w:eastAsia="宋体"/>
          <w:sz w:val="24"/>
          <w:szCs w:val="24"/>
          <w:lang w:eastAsia="zh-CN"/>
        </w:rPr>
        <w:t>申请</w:t>
      </w:r>
      <w:r>
        <w:rPr>
          <w:rFonts w:hint="eastAsia" w:ascii="宋体" w:hAnsi="宋体" w:eastAsia="宋体"/>
          <w:sz w:val="24"/>
          <w:szCs w:val="24"/>
        </w:rPr>
        <w:t>文件进行详细评审打分，满分为 100 分。各</w:t>
      </w:r>
      <w:r>
        <w:rPr>
          <w:rFonts w:hint="eastAsia" w:ascii="宋体" w:hAnsi="宋体" w:eastAsia="宋体"/>
          <w:sz w:val="24"/>
          <w:szCs w:val="24"/>
          <w:lang w:eastAsia="zh-CN"/>
        </w:rPr>
        <w:t>申请人</w:t>
      </w:r>
      <w:r>
        <w:rPr>
          <w:rFonts w:hint="eastAsia" w:ascii="宋体" w:hAnsi="宋体" w:eastAsia="宋体"/>
          <w:sz w:val="24"/>
          <w:szCs w:val="24"/>
        </w:rPr>
        <w:t>所有评价指标得分之和为该</w:t>
      </w:r>
      <w:r>
        <w:rPr>
          <w:rFonts w:hint="eastAsia" w:ascii="宋体" w:hAnsi="宋体" w:eastAsia="宋体"/>
          <w:sz w:val="24"/>
          <w:szCs w:val="24"/>
          <w:lang w:eastAsia="zh-CN"/>
        </w:rPr>
        <w:t>申请</w:t>
      </w:r>
      <w:r>
        <w:rPr>
          <w:rFonts w:hint="eastAsia" w:ascii="宋体" w:hAnsi="宋体" w:eastAsia="宋体"/>
          <w:sz w:val="24"/>
          <w:szCs w:val="24"/>
        </w:rPr>
        <w:t>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087"/>
        <w:gridCol w:w="919"/>
        <w:gridCol w:w="5814"/>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1" w:type="pct"/>
            <w:vAlign w:val="center"/>
          </w:tcPr>
          <w:p>
            <w:pPr>
              <w:jc w:val="center"/>
              <w:rPr>
                <w:rFonts w:ascii="宋体" w:hAnsi="宋体" w:eastAsia="宋体"/>
                <w:b/>
                <w:bCs/>
                <w:sz w:val="24"/>
                <w:szCs w:val="24"/>
              </w:rPr>
            </w:pPr>
            <w:r>
              <w:rPr>
                <w:rFonts w:hint="eastAsia" w:ascii="宋体" w:hAnsi="宋体" w:eastAsia="宋体"/>
                <w:b/>
                <w:bCs/>
                <w:sz w:val="24"/>
                <w:szCs w:val="24"/>
              </w:rPr>
              <w:t>序号</w:t>
            </w:r>
          </w:p>
        </w:tc>
        <w:tc>
          <w:tcPr>
            <w:tcW w:w="593" w:type="pct"/>
            <w:vAlign w:val="center"/>
          </w:tcPr>
          <w:p>
            <w:pPr>
              <w:jc w:val="center"/>
              <w:rPr>
                <w:rFonts w:ascii="宋体" w:hAnsi="宋体" w:eastAsia="宋体"/>
                <w:b/>
                <w:bCs/>
                <w:sz w:val="24"/>
                <w:szCs w:val="24"/>
              </w:rPr>
            </w:pPr>
            <w:r>
              <w:rPr>
                <w:rFonts w:hint="eastAsia" w:ascii="宋体" w:hAnsi="宋体" w:eastAsia="宋体"/>
                <w:b/>
                <w:bCs/>
                <w:sz w:val="24"/>
                <w:szCs w:val="24"/>
              </w:rPr>
              <w:t>评分</w:t>
            </w:r>
          </w:p>
          <w:p>
            <w:pPr>
              <w:jc w:val="center"/>
              <w:rPr>
                <w:rFonts w:ascii="宋体" w:hAnsi="宋体" w:eastAsia="宋体"/>
                <w:b/>
                <w:bCs/>
                <w:sz w:val="24"/>
                <w:szCs w:val="24"/>
              </w:rPr>
            </w:pPr>
            <w:r>
              <w:rPr>
                <w:rFonts w:hint="eastAsia" w:ascii="宋体" w:hAnsi="宋体" w:eastAsia="宋体"/>
                <w:b/>
                <w:bCs/>
                <w:sz w:val="24"/>
                <w:szCs w:val="24"/>
              </w:rPr>
              <w:t>因素</w:t>
            </w:r>
          </w:p>
        </w:tc>
        <w:tc>
          <w:tcPr>
            <w:tcW w:w="501" w:type="pct"/>
            <w:vAlign w:val="center"/>
          </w:tcPr>
          <w:p>
            <w:pPr>
              <w:jc w:val="center"/>
              <w:rPr>
                <w:rFonts w:ascii="宋体" w:hAnsi="宋体" w:eastAsia="宋体"/>
                <w:b/>
                <w:bCs/>
                <w:sz w:val="24"/>
                <w:szCs w:val="24"/>
              </w:rPr>
            </w:pPr>
            <w:r>
              <w:rPr>
                <w:rFonts w:hint="eastAsia" w:ascii="宋体" w:hAnsi="宋体" w:eastAsia="宋体"/>
                <w:b/>
                <w:bCs/>
                <w:sz w:val="24"/>
                <w:szCs w:val="24"/>
              </w:rPr>
              <w:t>分值</w:t>
            </w:r>
          </w:p>
        </w:tc>
        <w:tc>
          <w:tcPr>
            <w:tcW w:w="3171" w:type="pct"/>
            <w:vAlign w:val="center"/>
          </w:tcPr>
          <w:p>
            <w:pPr>
              <w:jc w:val="center"/>
              <w:rPr>
                <w:rFonts w:ascii="宋体" w:hAnsi="宋体" w:eastAsia="宋体"/>
                <w:b/>
                <w:bCs/>
                <w:sz w:val="24"/>
                <w:szCs w:val="24"/>
              </w:rPr>
            </w:pPr>
            <w:r>
              <w:rPr>
                <w:rFonts w:hint="eastAsia" w:ascii="宋体" w:hAnsi="宋体" w:eastAsia="宋体"/>
                <w:b/>
                <w:bCs/>
                <w:sz w:val="24"/>
                <w:szCs w:val="24"/>
              </w:rPr>
              <w:t>评分标准</w:t>
            </w:r>
          </w:p>
        </w:tc>
        <w:tc>
          <w:tcPr>
            <w:tcW w:w="405" w:type="pct"/>
            <w:vAlign w:val="center"/>
          </w:tcPr>
          <w:p>
            <w:pPr>
              <w:spacing w:line="312" w:lineRule="auto"/>
              <w:jc w:val="center"/>
              <w:rPr>
                <w:rFonts w:ascii="宋体" w:hAnsi="宋体" w:eastAsia="宋体"/>
                <w:b/>
                <w:bCs/>
                <w:sz w:val="24"/>
                <w:szCs w:val="24"/>
              </w:rPr>
            </w:pPr>
            <w:r>
              <w:rPr>
                <w:rFonts w:hint="eastAsia" w:ascii="宋体" w:hAnsi="宋体" w:eastAsia="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1" w:type="pct"/>
            <w:vAlign w:val="center"/>
          </w:tcPr>
          <w:p>
            <w:pPr>
              <w:spacing w:line="312" w:lineRule="auto"/>
              <w:jc w:val="center"/>
              <w:rPr>
                <w:rFonts w:ascii="宋体" w:hAnsi="宋体" w:eastAsia="宋体"/>
                <w:sz w:val="24"/>
                <w:szCs w:val="24"/>
              </w:rPr>
            </w:pPr>
            <w:r>
              <w:rPr>
                <w:rFonts w:hint="eastAsia" w:ascii="宋体" w:hAnsi="宋体" w:eastAsia="宋体"/>
                <w:sz w:val="24"/>
                <w:szCs w:val="24"/>
              </w:rPr>
              <w:t>1</w:t>
            </w:r>
          </w:p>
        </w:tc>
        <w:tc>
          <w:tcPr>
            <w:tcW w:w="593" w:type="pct"/>
            <w:vAlign w:val="center"/>
          </w:tcPr>
          <w:p>
            <w:pPr>
              <w:spacing w:line="312" w:lineRule="auto"/>
              <w:rPr>
                <w:rFonts w:ascii="宋体" w:hAnsi="宋体" w:eastAsia="宋体"/>
                <w:sz w:val="24"/>
                <w:szCs w:val="24"/>
              </w:rPr>
            </w:pPr>
            <w:r>
              <w:rPr>
                <w:rFonts w:hint="eastAsia" w:ascii="宋体" w:hAnsi="宋体" w:eastAsia="宋体"/>
                <w:sz w:val="24"/>
                <w:szCs w:val="24"/>
              </w:rPr>
              <w:t>报价</w:t>
            </w:r>
          </w:p>
        </w:tc>
        <w:tc>
          <w:tcPr>
            <w:tcW w:w="501" w:type="pct"/>
            <w:vAlign w:val="center"/>
          </w:tcPr>
          <w:p>
            <w:pPr>
              <w:spacing w:line="312" w:lineRule="auto"/>
              <w:rPr>
                <w:rFonts w:ascii="宋体" w:hAnsi="宋体" w:eastAsia="宋体"/>
                <w:sz w:val="24"/>
                <w:szCs w:val="24"/>
              </w:rPr>
            </w:pPr>
            <w:r>
              <w:rPr>
                <w:rFonts w:hint="eastAsia" w:ascii="宋体" w:hAnsi="宋体" w:eastAsia="宋体"/>
                <w:sz w:val="24"/>
                <w:szCs w:val="24"/>
              </w:rPr>
              <w:t>30分</w:t>
            </w:r>
          </w:p>
        </w:tc>
        <w:tc>
          <w:tcPr>
            <w:tcW w:w="3171" w:type="pct"/>
            <w:vAlign w:val="center"/>
          </w:tcPr>
          <w:p>
            <w:pPr>
              <w:rPr>
                <w:rFonts w:ascii="宋体" w:hAnsi="宋体" w:eastAsia="宋体"/>
                <w:sz w:val="24"/>
                <w:szCs w:val="24"/>
              </w:rPr>
            </w:pPr>
            <w:r>
              <w:rPr>
                <w:rFonts w:hint="eastAsia" w:ascii="宋体" w:hAnsi="宋体" w:eastAsia="宋体"/>
                <w:sz w:val="24"/>
                <w:szCs w:val="24"/>
              </w:rPr>
              <w:t>满足比选文件要求且响应价格最低的比选报价为基准价，其价格分为满分。其他报价得分=（基准价/比选报价）×30分。</w:t>
            </w:r>
          </w:p>
        </w:tc>
        <w:tc>
          <w:tcPr>
            <w:tcW w:w="405" w:type="pct"/>
            <w:vAlign w:val="center"/>
          </w:tcPr>
          <w:p>
            <w:pPr>
              <w:spacing w:line="312"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331" w:type="pct"/>
            <w:vAlign w:val="center"/>
          </w:tcPr>
          <w:p>
            <w:pPr>
              <w:spacing w:line="312" w:lineRule="auto"/>
              <w:jc w:val="center"/>
              <w:rPr>
                <w:rFonts w:ascii="宋体" w:hAnsi="宋体" w:eastAsia="宋体"/>
                <w:sz w:val="24"/>
                <w:szCs w:val="24"/>
              </w:rPr>
            </w:pPr>
            <w:r>
              <w:rPr>
                <w:rFonts w:hint="eastAsia" w:ascii="宋体" w:hAnsi="宋体" w:eastAsia="宋体"/>
                <w:sz w:val="24"/>
                <w:szCs w:val="24"/>
              </w:rPr>
              <w:t>2</w:t>
            </w:r>
          </w:p>
        </w:tc>
        <w:tc>
          <w:tcPr>
            <w:tcW w:w="593" w:type="pct"/>
            <w:vAlign w:val="center"/>
          </w:tcPr>
          <w:p>
            <w:pPr>
              <w:spacing w:line="312" w:lineRule="auto"/>
              <w:rPr>
                <w:rFonts w:ascii="宋体" w:hAnsi="宋体" w:eastAsia="宋体"/>
                <w:sz w:val="24"/>
                <w:szCs w:val="24"/>
              </w:rPr>
            </w:pPr>
            <w:r>
              <w:rPr>
                <w:rFonts w:hint="eastAsia" w:ascii="宋体" w:hAnsi="宋体" w:eastAsia="宋体"/>
                <w:sz w:val="24"/>
                <w:szCs w:val="24"/>
              </w:rPr>
              <w:t>产品技术参数及性能</w:t>
            </w:r>
          </w:p>
        </w:tc>
        <w:tc>
          <w:tcPr>
            <w:tcW w:w="501" w:type="pct"/>
            <w:vAlign w:val="center"/>
          </w:tcPr>
          <w:p>
            <w:pPr>
              <w:spacing w:line="312" w:lineRule="auto"/>
              <w:rPr>
                <w:rFonts w:ascii="宋体" w:hAnsi="宋体" w:eastAsia="宋体"/>
                <w:sz w:val="24"/>
                <w:szCs w:val="24"/>
              </w:rPr>
            </w:pPr>
            <w:r>
              <w:rPr>
                <w:rFonts w:hint="eastAsia" w:ascii="宋体" w:hAnsi="宋体" w:eastAsia="宋体"/>
                <w:sz w:val="24"/>
                <w:szCs w:val="24"/>
              </w:rPr>
              <w:t>50分</w:t>
            </w:r>
          </w:p>
        </w:tc>
        <w:tc>
          <w:tcPr>
            <w:tcW w:w="3171" w:type="pct"/>
            <w:vAlign w:val="center"/>
          </w:tcPr>
          <w:p>
            <w:pPr>
              <w:rPr>
                <w:rFonts w:ascii="宋体" w:hAnsi="宋体" w:eastAsia="宋体"/>
                <w:sz w:val="24"/>
                <w:szCs w:val="24"/>
              </w:rPr>
            </w:pPr>
            <w:r>
              <w:rPr>
                <w:rFonts w:hint="eastAsia" w:ascii="宋体" w:hAnsi="宋体" w:eastAsia="宋体"/>
                <w:sz w:val="24"/>
                <w:szCs w:val="24"/>
              </w:rPr>
              <w:t>供应商提供产品的技术参数完全满足比选文件中技术参数及要求的，得50分。其中：</w:t>
            </w:r>
          </w:p>
          <w:p>
            <w:pPr>
              <w:rPr>
                <w:rFonts w:ascii="宋体" w:hAnsi="宋体" w:eastAsia="宋体"/>
                <w:sz w:val="24"/>
                <w:szCs w:val="24"/>
              </w:rPr>
            </w:pPr>
            <w:r>
              <w:rPr>
                <w:rFonts w:hint="eastAsia" w:ascii="宋体" w:hAnsi="宋体" w:eastAsia="宋体"/>
                <w:sz w:val="24"/>
                <w:szCs w:val="24"/>
              </w:rPr>
              <w:t>1.带</w:t>
            </w:r>
            <w:r>
              <w:rPr>
                <w:rFonts w:ascii="宋体" w:hAnsi="宋体" w:eastAsia="宋体"/>
                <w:sz w:val="24"/>
                <w:szCs w:val="24"/>
              </w:rPr>
              <w:t>▲项技术参数需供应商提供有效证明材料（共15项），</w:t>
            </w:r>
            <w:r>
              <w:rPr>
                <w:rFonts w:hint="eastAsia" w:ascii="宋体" w:hAnsi="宋体" w:eastAsia="宋体"/>
                <w:sz w:val="24"/>
                <w:szCs w:val="24"/>
              </w:rPr>
              <w:t>提供证明材料</w:t>
            </w:r>
            <w:r>
              <w:rPr>
                <w:rFonts w:ascii="宋体" w:hAnsi="宋体" w:eastAsia="宋体"/>
                <w:sz w:val="24"/>
                <w:szCs w:val="24"/>
              </w:rPr>
              <w:t>每项</w:t>
            </w:r>
            <w:r>
              <w:rPr>
                <w:rFonts w:hint="eastAsia" w:ascii="宋体" w:hAnsi="宋体" w:eastAsia="宋体"/>
                <w:sz w:val="24"/>
                <w:szCs w:val="24"/>
              </w:rPr>
              <w:t>得</w:t>
            </w:r>
            <w:r>
              <w:rPr>
                <w:rFonts w:ascii="宋体" w:hAnsi="宋体" w:eastAsia="宋体"/>
                <w:sz w:val="24"/>
                <w:szCs w:val="24"/>
              </w:rPr>
              <w:t>2分</w:t>
            </w:r>
            <w:r>
              <w:rPr>
                <w:rFonts w:hint="eastAsia" w:ascii="宋体" w:hAnsi="宋体" w:eastAsia="宋体"/>
                <w:sz w:val="24"/>
                <w:szCs w:val="24"/>
              </w:rPr>
              <w:t>。此项</w:t>
            </w:r>
            <w:r>
              <w:rPr>
                <w:rFonts w:ascii="宋体" w:hAnsi="宋体" w:eastAsia="宋体"/>
                <w:sz w:val="24"/>
                <w:szCs w:val="24"/>
              </w:rPr>
              <w:t>共</w:t>
            </w:r>
            <w:r>
              <w:rPr>
                <w:rFonts w:hint="eastAsia" w:ascii="宋体" w:hAnsi="宋体" w:eastAsia="宋体"/>
                <w:sz w:val="24"/>
                <w:szCs w:val="24"/>
              </w:rPr>
              <w:t>计</w:t>
            </w:r>
            <w:r>
              <w:rPr>
                <w:rFonts w:ascii="宋体" w:hAnsi="宋体" w:eastAsia="宋体"/>
                <w:sz w:val="24"/>
                <w:szCs w:val="24"/>
              </w:rPr>
              <w:t>30分。</w:t>
            </w:r>
          </w:p>
          <w:p>
            <w:pPr>
              <w:rPr>
                <w:rFonts w:ascii="宋体" w:hAnsi="宋体" w:eastAsia="宋体"/>
                <w:sz w:val="24"/>
                <w:szCs w:val="24"/>
              </w:rPr>
            </w:pPr>
            <w:r>
              <w:rPr>
                <w:rFonts w:hint="eastAsia" w:ascii="宋体" w:hAnsi="宋体" w:eastAsia="宋体"/>
                <w:sz w:val="24"/>
                <w:szCs w:val="24"/>
              </w:rPr>
              <w:t>2.技术参数其他项目共20分，每有一项负偏离的扣1分，扣完为止。本项最多扣20分。</w:t>
            </w:r>
          </w:p>
        </w:tc>
        <w:tc>
          <w:tcPr>
            <w:tcW w:w="405" w:type="pct"/>
            <w:vAlign w:val="center"/>
          </w:tcPr>
          <w:p>
            <w:pPr>
              <w:spacing w:line="312" w:lineRule="auto"/>
              <w:ind w:firstLine="470" w:firstLineChars="196"/>
              <w:rPr>
                <w:rFonts w:ascii="宋体" w:hAnsi="宋体" w:eastAsia="宋体"/>
                <w:sz w:val="24"/>
                <w:szCs w:val="24"/>
              </w:rPr>
            </w:pPr>
          </w:p>
          <w:p>
            <w:pPr>
              <w:spacing w:line="312" w:lineRule="auto"/>
              <w:ind w:firstLine="470" w:firstLineChars="196"/>
              <w:rPr>
                <w:rFonts w:ascii="宋体" w:hAnsi="宋体" w:eastAsia="宋体"/>
                <w:sz w:val="24"/>
                <w:szCs w:val="24"/>
              </w:rPr>
            </w:pPr>
          </w:p>
          <w:p>
            <w:pPr>
              <w:spacing w:line="312" w:lineRule="auto"/>
              <w:ind w:firstLine="470" w:firstLineChars="196"/>
              <w:rPr>
                <w:rFonts w:ascii="宋体" w:hAnsi="宋体" w:eastAsia="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331" w:type="pct"/>
            <w:vAlign w:val="center"/>
          </w:tcPr>
          <w:p>
            <w:pPr>
              <w:spacing w:line="312" w:lineRule="auto"/>
              <w:jc w:val="center"/>
              <w:rPr>
                <w:rFonts w:ascii="宋体" w:hAnsi="宋体" w:eastAsia="宋体"/>
                <w:sz w:val="24"/>
                <w:szCs w:val="24"/>
              </w:rPr>
            </w:pPr>
            <w:r>
              <w:rPr>
                <w:rFonts w:hint="eastAsia" w:ascii="宋体" w:hAnsi="宋体" w:eastAsia="宋体"/>
                <w:sz w:val="24"/>
                <w:szCs w:val="24"/>
              </w:rPr>
              <w:t>3</w:t>
            </w:r>
          </w:p>
        </w:tc>
        <w:tc>
          <w:tcPr>
            <w:tcW w:w="593" w:type="pct"/>
            <w:vAlign w:val="center"/>
          </w:tcPr>
          <w:p>
            <w:pPr>
              <w:spacing w:line="312" w:lineRule="auto"/>
              <w:rPr>
                <w:rFonts w:ascii="宋体" w:hAnsi="宋体" w:eastAsia="宋体"/>
                <w:sz w:val="24"/>
                <w:szCs w:val="24"/>
              </w:rPr>
            </w:pPr>
            <w:r>
              <w:rPr>
                <w:rFonts w:hint="eastAsia" w:ascii="宋体" w:hAnsi="宋体" w:eastAsia="宋体"/>
                <w:sz w:val="24"/>
                <w:szCs w:val="24"/>
              </w:rPr>
              <w:t>实施</w:t>
            </w:r>
          </w:p>
          <w:p>
            <w:pPr>
              <w:spacing w:line="312" w:lineRule="auto"/>
              <w:rPr>
                <w:rFonts w:ascii="宋体" w:hAnsi="宋体" w:eastAsia="宋体"/>
                <w:sz w:val="24"/>
                <w:szCs w:val="24"/>
              </w:rPr>
            </w:pPr>
            <w:r>
              <w:rPr>
                <w:rFonts w:hint="eastAsia" w:ascii="宋体" w:hAnsi="宋体" w:eastAsia="宋体"/>
                <w:sz w:val="24"/>
                <w:szCs w:val="24"/>
              </w:rPr>
              <w:t>方案</w:t>
            </w:r>
          </w:p>
        </w:tc>
        <w:tc>
          <w:tcPr>
            <w:tcW w:w="501" w:type="pct"/>
            <w:vAlign w:val="center"/>
          </w:tcPr>
          <w:p>
            <w:pPr>
              <w:spacing w:line="312" w:lineRule="auto"/>
              <w:rPr>
                <w:rFonts w:ascii="宋体" w:hAnsi="宋体" w:eastAsia="宋体"/>
                <w:sz w:val="24"/>
                <w:szCs w:val="24"/>
              </w:rPr>
            </w:pPr>
            <w:r>
              <w:rPr>
                <w:rFonts w:hint="eastAsia" w:ascii="宋体" w:hAnsi="宋体" w:eastAsia="宋体"/>
                <w:sz w:val="24"/>
                <w:szCs w:val="24"/>
              </w:rPr>
              <w:t>10分</w:t>
            </w:r>
          </w:p>
        </w:tc>
        <w:tc>
          <w:tcPr>
            <w:tcW w:w="3171" w:type="pct"/>
            <w:vAlign w:val="center"/>
          </w:tcPr>
          <w:p>
            <w:pPr>
              <w:rPr>
                <w:rFonts w:ascii="宋体" w:hAnsi="宋体" w:eastAsia="宋体"/>
                <w:sz w:val="24"/>
                <w:szCs w:val="24"/>
              </w:rPr>
            </w:pPr>
            <w:r>
              <w:rPr>
                <w:rFonts w:hint="eastAsia" w:ascii="宋体" w:hAnsi="宋体" w:eastAsia="宋体"/>
                <w:sz w:val="24"/>
                <w:szCs w:val="24"/>
              </w:rPr>
              <w:t>根据申请人提供的项目实施方案：</w:t>
            </w:r>
          </w:p>
          <w:p>
            <w:pPr>
              <w:rPr>
                <w:rFonts w:ascii="宋体" w:hAnsi="宋体" w:eastAsia="宋体"/>
                <w:sz w:val="24"/>
                <w:szCs w:val="24"/>
              </w:rPr>
            </w:pPr>
            <w:r>
              <w:rPr>
                <w:rFonts w:hint="eastAsia" w:ascii="宋体" w:hAnsi="宋体" w:eastAsia="宋体"/>
                <w:sz w:val="24"/>
                <w:szCs w:val="24"/>
              </w:rPr>
              <w:t xml:space="preserve">(1)安装以及调试:(方案内容完善，安排合理，可行性强且详实合理符合项目实际需求的得 4 分,存在不足扣 2 分，不提供不得分)； </w:t>
            </w:r>
          </w:p>
          <w:p>
            <w:pPr>
              <w:rPr>
                <w:rFonts w:ascii="宋体" w:hAnsi="宋体" w:eastAsia="宋体"/>
                <w:sz w:val="24"/>
                <w:szCs w:val="24"/>
              </w:rPr>
            </w:pPr>
            <w:r>
              <w:rPr>
                <w:rFonts w:hint="eastAsia" w:ascii="宋体" w:hAnsi="宋体" w:eastAsia="宋体"/>
                <w:sz w:val="24"/>
                <w:szCs w:val="24"/>
              </w:rPr>
              <w:t xml:space="preserve">(2)技术方案以及设备供货计划（方案内容完善，安排合理，可行性强且详实 合理符合项目实际需求的得 3 分，存在不足扣 1分，不提供不得分）； </w:t>
            </w:r>
          </w:p>
          <w:p>
            <w:pPr>
              <w:rPr>
                <w:rFonts w:ascii="宋体" w:hAnsi="宋体" w:eastAsia="宋体"/>
                <w:sz w:val="24"/>
                <w:szCs w:val="24"/>
              </w:rPr>
            </w:pPr>
            <w:r>
              <w:rPr>
                <w:rFonts w:hint="eastAsia" w:ascii="宋体" w:hAnsi="宋体" w:eastAsia="宋体"/>
                <w:sz w:val="24"/>
                <w:szCs w:val="24"/>
              </w:rPr>
              <w:t>(3)技术培训计划（方案内容完善，安排合理，可行性强且详实合理符合项目 实际需求的得3分，存在不足扣 1 分，不提供不得分）。</w:t>
            </w:r>
          </w:p>
        </w:tc>
        <w:tc>
          <w:tcPr>
            <w:tcW w:w="405" w:type="pct"/>
            <w:vAlign w:val="center"/>
          </w:tcPr>
          <w:p>
            <w:pPr>
              <w:spacing w:line="312"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31" w:type="pct"/>
            <w:vAlign w:val="center"/>
          </w:tcPr>
          <w:p>
            <w:pPr>
              <w:spacing w:line="312" w:lineRule="auto"/>
              <w:jc w:val="center"/>
              <w:rPr>
                <w:rFonts w:ascii="宋体" w:hAnsi="宋体" w:eastAsia="宋体"/>
                <w:sz w:val="24"/>
                <w:szCs w:val="24"/>
              </w:rPr>
            </w:pPr>
            <w:r>
              <w:rPr>
                <w:rFonts w:hint="eastAsia" w:ascii="宋体" w:hAnsi="宋体" w:eastAsia="宋体"/>
                <w:sz w:val="24"/>
                <w:szCs w:val="24"/>
              </w:rPr>
              <w:t>4</w:t>
            </w:r>
          </w:p>
        </w:tc>
        <w:tc>
          <w:tcPr>
            <w:tcW w:w="593" w:type="pct"/>
            <w:vAlign w:val="center"/>
          </w:tcPr>
          <w:p>
            <w:pPr>
              <w:spacing w:line="312" w:lineRule="auto"/>
              <w:rPr>
                <w:rFonts w:ascii="宋体" w:hAnsi="宋体" w:eastAsia="宋体"/>
                <w:sz w:val="24"/>
                <w:szCs w:val="24"/>
              </w:rPr>
            </w:pPr>
            <w:r>
              <w:rPr>
                <w:rFonts w:hint="eastAsia" w:ascii="宋体" w:hAnsi="宋体" w:eastAsia="宋体"/>
                <w:sz w:val="24"/>
                <w:szCs w:val="24"/>
              </w:rPr>
              <w:t>售后</w:t>
            </w:r>
          </w:p>
          <w:p>
            <w:pPr>
              <w:spacing w:line="312" w:lineRule="auto"/>
              <w:rPr>
                <w:rFonts w:ascii="宋体" w:hAnsi="宋体" w:eastAsia="宋体"/>
                <w:sz w:val="24"/>
                <w:szCs w:val="24"/>
              </w:rPr>
            </w:pPr>
            <w:r>
              <w:rPr>
                <w:rFonts w:hint="eastAsia" w:ascii="宋体" w:hAnsi="宋体" w:eastAsia="宋体"/>
                <w:sz w:val="24"/>
                <w:szCs w:val="24"/>
              </w:rPr>
              <w:t>服务</w:t>
            </w:r>
          </w:p>
        </w:tc>
        <w:tc>
          <w:tcPr>
            <w:tcW w:w="501" w:type="pct"/>
            <w:vAlign w:val="center"/>
          </w:tcPr>
          <w:p>
            <w:pPr>
              <w:spacing w:line="312" w:lineRule="auto"/>
              <w:rPr>
                <w:rFonts w:ascii="宋体" w:hAnsi="宋体" w:eastAsia="宋体"/>
                <w:sz w:val="24"/>
                <w:szCs w:val="24"/>
              </w:rPr>
            </w:pPr>
            <w:r>
              <w:rPr>
                <w:rFonts w:hint="eastAsia" w:ascii="宋体" w:hAnsi="宋体" w:eastAsia="宋体"/>
                <w:sz w:val="24"/>
                <w:szCs w:val="24"/>
              </w:rPr>
              <w:t>8分</w:t>
            </w:r>
          </w:p>
        </w:tc>
        <w:tc>
          <w:tcPr>
            <w:tcW w:w="3171" w:type="pct"/>
            <w:vAlign w:val="center"/>
          </w:tcPr>
          <w:p>
            <w:pPr>
              <w:rPr>
                <w:rFonts w:ascii="宋体" w:hAnsi="宋体" w:eastAsia="宋体"/>
                <w:sz w:val="24"/>
                <w:szCs w:val="24"/>
              </w:rPr>
            </w:pPr>
            <w:r>
              <w:rPr>
                <w:rFonts w:hint="eastAsia" w:ascii="宋体" w:hAnsi="宋体" w:eastAsia="宋体"/>
                <w:sz w:val="24"/>
                <w:szCs w:val="24"/>
              </w:rPr>
              <w:t>根据申请人提供的售后服务方案进行综合评审：</w:t>
            </w:r>
          </w:p>
          <w:p>
            <w:pPr>
              <w:rPr>
                <w:rFonts w:ascii="宋体" w:hAnsi="宋体" w:eastAsia="宋体"/>
                <w:sz w:val="24"/>
                <w:szCs w:val="24"/>
              </w:rPr>
            </w:pPr>
            <w:r>
              <w:rPr>
                <w:rFonts w:hint="eastAsia" w:ascii="宋体" w:hAnsi="宋体" w:eastAsia="宋体"/>
                <w:sz w:val="24"/>
                <w:szCs w:val="24"/>
              </w:rPr>
              <w:t>1.售后服务措施（包括响应时间、到达现场时间等），响应时间和到达现场时间最优的（含并列），得3分；排名最后得0分；其他排名得1分。</w:t>
            </w:r>
          </w:p>
          <w:p>
            <w:pPr>
              <w:rPr>
                <w:rFonts w:ascii="宋体" w:hAnsi="宋体" w:eastAsia="宋体"/>
                <w:sz w:val="24"/>
                <w:szCs w:val="24"/>
              </w:rPr>
            </w:pPr>
            <w:r>
              <w:rPr>
                <w:rFonts w:hint="eastAsia" w:ascii="宋体" w:hAnsi="宋体" w:eastAsia="宋体"/>
                <w:sz w:val="24"/>
                <w:szCs w:val="24"/>
              </w:rPr>
              <w:t>2.售后服务人员安排，提供对口服务技术人员数最多(含并列)的得3分；排名最后得0分；其他排名得1分。</w:t>
            </w:r>
          </w:p>
          <w:p>
            <w:pPr>
              <w:rPr>
                <w:rFonts w:ascii="宋体" w:hAnsi="宋体" w:eastAsia="宋体"/>
                <w:sz w:val="24"/>
                <w:szCs w:val="24"/>
              </w:rPr>
            </w:pPr>
            <w:r>
              <w:rPr>
                <w:rFonts w:hint="eastAsia" w:ascii="宋体" w:hAnsi="宋体" w:eastAsia="宋体"/>
                <w:sz w:val="24"/>
                <w:szCs w:val="24"/>
              </w:rPr>
              <w:t>3.售后服务人员安排，提供对口服务技术人员拥有高级职业资格或技能证书的，得2分；拥有中级职业资格或技能证书的，得1分；其他得0分。</w:t>
            </w:r>
          </w:p>
        </w:tc>
        <w:tc>
          <w:tcPr>
            <w:tcW w:w="405" w:type="pct"/>
            <w:vAlign w:val="center"/>
          </w:tcPr>
          <w:p>
            <w:pPr>
              <w:spacing w:line="312" w:lineRule="auto"/>
              <w:ind w:firstLine="470" w:firstLineChars="196"/>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31" w:type="pct"/>
            <w:vAlign w:val="center"/>
          </w:tcPr>
          <w:p>
            <w:pPr>
              <w:spacing w:line="312" w:lineRule="auto"/>
              <w:jc w:val="center"/>
              <w:rPr>
                <w:rFonts w:ascii="宋体" w:hAnsi="宋体" w:eastAsia="宋体"/>
                <w:sz w:val="24"/>
                <w:szCs w:val="24"/>
              </w:rPr>
            </w:pPr>
            <w:r>
              <w:rPr>
                <w:rFonts w:hint="eastAsia" w:ascii="宋体" w:hAnsi="宋体" w:eastAsia="宋体"/>
                <w:sz w:val="24"/>
                <w:szCs w:val="24"/>
              </w:rPr>
              <w:t>5</w:t>
            </w:r>
          </w:p>
        </w:tc>
        <w:tc>
          <w:tcPr>
            <w:tcW w:w="593" w:type="pct"/>
            <w:vAlign w:val="center"/>
          </w:tcPr>
          <w:p>
            <w:pPr>
              <w:rPr>
                <w:rFonts w:ascii="宋体" w:hAnsi="宋体" w:eastAsia="宋体"/>
                <w:sz w:val="24"/>
                <w:szCs w:val="24"/>
              </w:rPr>
            </w:pPr>
            <w:r>
              <w:rPr>
                <w:rFonts w:hint="eastAsia" w:ascii="宋体" w:hAnsi="宋体" w:eastAsia="宋体"/>
                <w:sz w:val="24"/>
                <w:szCs w:val="24"/>
              </w:rPr>
              <w:t>投标文件的规范性</w:t>
            </w:r>
          </w:p>
        </w:tc>
        <w:tc>
          <w:tcPr>
            <w:tcW w:w="501" w:type="pct"/>
            <w:vAlign w:val="center"/>
          </w:tcPr>
          <w:p>
            <w:pPr>
              <w:spacing w:line="312" w:lineRule="auto"/>
              <w:rPr>
                <w:rFonts w:ascii="宋体" w:hAnsi="宋体" w:eastAsia="宋体"/>
                <w:sz w:val="24"/>
                <w:szCs w:val="24"/>
              </w:rPr>
            </w:pPr>
            <w:r>
              <w:rPr>
                <w:rFonts w:hint="eastAsia" w:ascii="宋体" w:hAnsi="宋体" w:eastAsia="宋体"/>
                <w:sz w:val="24"/>
                <w:szCs w:val="24"/>
              </w:rPr>
              <w:t>2分</w:t>
            </w:r>
          </w:p>
        </w:tc>
        <w:tc>
          <w:tcPr>
            <w:tcW w:w="3171" w:type="pct"/>
            <w:vAlign w:val="center"/>
          </w:tcPr>
          <w:p>
            <w:pPr>
              <w:rPr>
                <w:rFonts w:ascii="宋体" w:hAnsi="宋体" w:eastAsia="宋体"/>
                <w:sz w:val="24"/>
                <w:szCs w:val="24"/>
              </w:rPr>
            </w:pPr>
            <w:r>
              <w:rPr>
                <w:rFonts w:hint="eastAsia" w:ascii="宋体" w:hAnsi="宋体" w:eastAsia="宋体"/>
                <w:sz w:val="24"/>
                <w:szCs w:val="24"/>
              </w:rPr>
              <w:t>比选申请文件制作规范，有清晰目录、页码得1分；申请文件内容完整得1分。</w:t>
            </w:r>
          </w:p>
        </w:tc>
        <w:tc>
          <w:tcPr>
            <w:tcW w:w="405" w:type="pct"/>
            <w:vAlign w:val="center"/>
          </w:tcPr>
          <w:p>
            <w:pPr>
              <w:spacing w:line="312" w:lineRule="auto"/>
              <w:ind w:firstLine="470" w:firstLineChars="196"/>
              <w:rPr>
                <w:rFonts w:ascii="宋体" w:hAnsi="宋体" w:eastAsia="宋体"/>
                <w:sz w:val="24"/>
                <w:szCs w:val="24"/>
              </w:rPr>
            </w:pPr>
          </w:p>
        </w:tc>
      </w:tr>
    </w:tbl>
    <w:p>
      <w:pPr>
        <w:pStyle w:val="5"/>
        <w:spacing w:line="400" w:lineRule="exact"/>
        <w:jc w:val="center"/>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975" w:firstLineChars="11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11"/>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6"/>
        <w:spacing w:line="400" w:lineRule="exact"/>
        <w:jc w:val="center"/>
        <w:rPr>
          <w:rFonts w:ascii="宋体" w:hAnsi="宋体" w:eastAsia="宋体"/>
          <w:sz w:val="32"/>
        </w:rPr>
      </w:pPr>
      <w:bookmarkStart w:id="28" w:name="_Toc217446082"/>
      <w:r>
        <w:rPr>
          <w:rFonts w:hint="eastAsia" w:ascii="宋体" w:hAnsi="宋体" w:eastAsia="宋体"/>
          <w:sz w:val="32"/>
        </w:rPr>
        <w:t>一、</w:t>
      </w:r>
      <w:bookmarkEnd w:id="28"/>
      <w:r>
        <w:rPr>
          <w:rFonts w:hint="eastAsia" w:ascii="宋体" w:hAnsi="宋体" w:eastAsia="宋体"/>
          <w:sz w:val="32"/>
        </w:rPr>
        <w:t>申请函</w:t>
      </w:r>
    </w:p>
    <w:p>
      <w:pPr>
        <w:pStyle w:val="14"/>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4"/>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4"/>
        <w:spacing w:line="400" w:lineRule="exact"/>
        <w:ind w:firstLine="0"/>
        <w:rPr>
          <w:rFonts w:ascii="宋体" w:hAnsi="宋体" w:eastAsia="宋体"/>
          <w:bCs/>
          <w:sz w:val="24"/>
          <w:szCs w:val="24"/>
        </w:rPr>
      </w:pPr>
    </w:p>
    <w:p>
      <w:pPr>
        <w:pStyle w:val="14"/>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4"/>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6"/>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11"/>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6"/>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8"/>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6"/>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spacing w:line="360" w:lineRule="auto"/>
              <w:jc w:val="center"/>
              <w:rPr>
                <w:rFonts w:ascii="宋体" w:hAnsi="宋体" w:eastAsia="宋体" w:cs="仿宋"/>
                <w:sz w:val="21"/>
                <w:szCs w:val="21"/>
              </w:rPr>
            </w:pPr>
          </w:p>
        </w:tc>
        <w:tc>
          <w:tcPr>
            <w:tcW w:w="3180" w:type="dxa"/>
            <w:vAlign w:val="center"/>
          </w:tcPr>
          <w:p>
            <w:pPr>
              <w:pStyle w:val="37"/>
              <w:spacing w:line="360" w:lineRule="auto"/>
              <w:jc w:val="center"/>
              <w:rPr>
                <w:rFonts w:ascii="宋体" w:hAnsi="宋体" w:eastAsia="宋体" w:cs="仿宋"/>
                <w:sz w:val="21"/>
                <w:szCs w:val="21"/>
              </w:rPr>
            </w:pPr>
          </w:p>
        </w:tc>
        <w:tc>
          <w:tcPr>
            <w:tcW w:w="2515"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2982" w:type="dxa"/>
            <w:vAlign w:val="center"/>
          </w:tcPr>
          <w:p>
            <w:pPr>
              <w:pStyle w:val="37"/>
              <w:jc w:val="center"/>
              <w:rPr>
                <w:rFonts w:ascii="宋体" w:hAnsi="宋体" w:eastAsia="宋体" w:cs="仿宋"/>
                <w:sz w:val="21"/>
                <w:szCs w:val="21"/>
              </w:rPr>
            </w:pPr>
          </w:p>
        </w:tc>
        <w:tc>
          <w:tcPr>
            <w:tcW w:w="3180" w:type="dxa"/>
            <w:vAlign w:val="center"/>
          </w:tcPr>
          <w:p>
            <w:pPr>
              <w:pStyle w:val="37"/>
              <w:jc w:val="center"/>
              <w:rPr>
                <w:rFonts w:ascii="宋体" w:hAnsi="宋体" w:eastAsia="宋体" w:cs="仿宋"/>
                <w:sz w:val="21"/>
                <w:szCs w:val="21"/>
              </w:rPr>
            </w:pPr>
          </w:p>
        </w:tc>
        <w:tc>
          <w:tcPr>
            <w:tcW w:w="2515" w:type="dxa"/>
            <w:vAlign w:val="center"/>
          </w:tcPr>
          <w:p>
            <w:pPr>
              <w:pStyle w:val="37"/>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11"/>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c>
          <w:tcPr>
            <w:tcW w:w="2263" w:type="dxa"/>
            <w:vAlign w:val="center"/>
          </w:tcPr>
          <w:p>
            <w:pPr>
              <w:pStyle w:val="37"/>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7"/>
              <w:jc w:val="center"/>
              <w:rPr>
                <w:rFonts w:ascii="宋体" w:hAnsi="宋体" w:eastAsia="宋体" w:cs="仿宋"/>
                <w:sz w:val="21"/>
                <w:szCs w:val="21"/>
              </w:rPr>
            </w:pPr>
          </w:p>
        </w:tc>
        <w:tc>
          <w:tcPr>
            <w:tcW w:w="3689"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c>
          <w:tcPr>
            <w:tcW w:w="2263" w:type="dxa"/>
            <w:vAlign w:val="center"/>
          </w:tcPr>
          <w:p>
            <w:pPr>
              <w:pStyle w:val="37"/>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6"/>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11"/>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6"/>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5"/>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第七章 采购合同条款（草案）</w:t>
      </w:r>
      <w:bookmarkEnd w:id="31"/>
      <w:bookmarkEnd w:id="32"/>
      <w:bookmarkEnd w:id="33"/>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北師大說">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AADB58D0"/>
    <w:multiLevelType w:val="singleLevel"/>
    <w:tmpl w:val="AADB58D0"/>
    <w:lvl w:ilvl="0" w:tentative="0">
      <w:start w:val="4"/>
      <w:numFmt w:val="chineseCounting"/>
      <w:suff w:val="nothing"/>
      <w:lvlText w:val="%1、"/>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B5D0A"/>
    <w:rsid w:val="0070549E"/>
    <w:rsid w:val="007778BD"/>
    <w:rsid w:val="007B6243"/>
    <w:rsid w:val="007E7A49"/>
    <w:rsid w:val="007F0BFD"/>
    <w:rsid w:val="0085681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15BF1"/>
    <w:rsid w:val="00E250D7"/>
    <w:rsid w:val="00E85DDD"/>
    <w:rsid w:val="00EB5667"/>
    <w:rsid w:val="00EC7A71"/>
    <w:rsid w:val="00F34F45"/>
    <w:rsid w:val="00F53C48"/>
    <w:rsid w:val="00F934B2"/>
    <w:rsid w:val="00FD4A63"/>
    <w:rsid w:val="07F55C66"/>
    <w:rsid w:val="0E945864"/>
    <w:rsid w:val="1A1F4846"/>
    <w:rsid w:val="4048214A"/>
    <w:rsid w:val="414334DE"/>
    <w:rsid w:val="5261632C"/>
    <w:rsid w:val="5BD415B9"/>
    <w:rsid w:val="5E124648"/>
    <w:rsid w:val="5F674E8B"/>
    <w:rsid w:val="765E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qFormat/>
    <w:uiPriority w:val="99"/>
    <w:pPr>
      <w:keepNext/>
      <w:keepLines/>
      <w:spacing w:before="340" w:after="330" w:line="576" w:lineRule="auto"/>
      <w:outlineLvl w:val="0"/>
    </w:pPr>
    <w:rPr>
      <w:b/>
      <w:bCs/>
      <w:kern w:val="44"/>
      <w:sz w:val="44"/>
      <w:szCs w:val="44"/>
    </w:rPr>
  </w:style>
  <w:style w:type="paragraph" w:styleId="6">
    <w:name w:val="heading 2"/>
    <w:basedOn w:val="1"/>
    <w:next w:val="1"/>
    <w:link w:val="28"/>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link w:val="29"/>
    <w:qFormat/>
    <w:uiPriority w:val="0"/>
    <w:pPr>
      <w:keepNext/>
      <w:keepLines/>
      <w:spacing w:before="120" w:after="120"/>
      <w:outlineLvl w:val="2"/>
    </w:pPr>
    <w:rPr>
      <w:rFonts w:eastAsia="仿宋"/>
      <w:b/>
      <w:sz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link w:val="31"/>
    <w:qFormat/>
    <w:uiPriority w:val="0"/>
    <w:pPr>
      <w:jc w:val="left"/>
    </w:pPr>
  </w:style>
  <w:style w:type="paragraph" w:styleId="11">
    <w:name w:val="Body Text"/>
    <w:basedOn w:val="1"/>
    <w:next w:val="1"/>
    <w:link w:val="30"/>
    <w:qFormat/>
    <w:uiPriority w:val="0"/>
    <w:pPr>
      <w:spacing w:after="120"/>
    </w:pPr>
  </w:style>
  <w:style w:type="paragraph" w:styleId="12">
    <w:name w:val="Plain Text"/>
    <w:basedOn w:val="1"/>
    <w:qFormat/>
    <w:uiPriority w:val="0"/>
    <w:rPr>
      <w:rFonts w:hAnsi="Courier New"/>
    </w:rPr>
  </w:style>
  <w:style w:type="paragraph" w:styleId="13">
    <w:name w:val="Date"/>
    <w:basedOn w:val="1"/>
    <w:next w:val="1"/>
    <w:link w:val="45"/>
    <w:semiHidden/>
    <w:unhideWhenUsed/>
    <w:qFormat/>
    <w:uiPriority w:val="99"/>
    <w:pPr>
      <w:ind w:left="100" w:leftChars="2500"/>
    </w:pPr>
  </w:style>
  <w:style w:type="paragraph" w:styleId="14">
    <w:name w:val="Body Text Indent 2"/>
    <w:basedOn w:val="1"/>
    <w:link w:val="32"/>
    <w:qFormat/>
    <w:uiPriority w:val="0"/>
    <w:pPr>
      <w:ind w:firstLine="630"/>
    </w:pPr>
    <w:rPr>
      <w:sz w:val="32"/>
    </w:rPr>
  </w:style>
  <w:style w:type="paragraph" w:styleId="15">
    <w:name w:val="footer"/>
    <w:basedOn w:val="1"/>
    <w:link w:val="26"/>
    <w:unhideWhenUsed/>
    <w:qFormat/>
    <w:uiPriority w:val="0"/>
    <w:pPr>
      <w:tabs>
        <w:tab w:val="center" w:pos="4153"/>
        <w:tab w:val="right" w:pos="8306"/>
      </w:tabs>
      <w:snapToGrid w:val="0"/>
      <w:jc w:val="left"/>
    </w:pPr>
    <w:rPr>
      <w:sz w:val="18"/>
      <w:szCs w:val="18"/>
    </w:rPr>
  </w:style>
  <w:style w:type="paragraph" w:styleId="1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rPr>
      <w:sz w:val="28"/>
    </w:rPr>
  </w:style>
  <w:style w:type="paragraph" w:styleId="18">
    <w:name w:val="annotation subject"/>
    <w:basedOn w:val="10"/>
    <w:next w:val="10"/>
    <w:link w:val="46"/>
    <w:semiHidden/>
    <w:unhideWhenUsed/>
    <w:qFormat/>
    <w:uiPriority w:val="99"/>
    <w:rPr>
      <w:b/>
      <w:bCs/>
    </w:rPr>
  </w:style>
  <w:style w:type="paragraph" w:styleId="19">
    <w:name w:val="Body Text First Indent"/>
    <w:basedOn w:val="11"/>
    <w:link w:val="34"/>
    <w:qFormat/>
    <w:uiPriority w:val="0"/>
    <w:pPr>
      <w:spacing w:line="360" w:lineRule="auto"/>
      <w:ind w:firstLine="420"/>
    </w:pPr>
    <w:rPr>
      <w:rFonts w:ascii="宋体" w:hAnsi="宋体"/>
      <w:sz w:val="24"/>
    </w:rPr>
  </w:style>
  <w:style w:type="table" w:styleId="21">
    <w:name w:val="Table Grid"/>
    <w:basedOn w:val="2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character" w:customStyle="1" w:styleId="25">
    <w:name w:val="页眉 字符"/>
    <w:basedOn w:val="22"/>
    <w:link w:val="16"/>
    <w:qFormat/>
    <w:uiPriority w:val="99"/>
    <w:rPr>
      <w:sz w:val="18"/>
      <w:szCs w:val="18"/>
    </w:rPr>
  </w:style>
  <w:style w:type="character" w:customStyle="1" w:styleId="26">
    <w:name w:val="页脚 字符"/>
    <w:basedOn w:val="22"/>
    <w:link w:val="15"/>
    <w:qFormat/>
    <w:uiPriority w:val="99"/>
    <w:rPr>
      <w:sz w:val="18"/>
      <w:szCs w:val="18"/>
    </w:rPr>
  </w:style>
  <w:style w:type="character" w:customStyle="1" w:styleId="27">
    <w:name w:val="标题 1 字符"/>
    <w:basedOn w:val="22"/>
    <w:link w:val="5"/>
    <w:qFormat/>
    <w:uiPriority w:val="99"/>
    <w:rPr>
      <w:b/>
      <w:bCs/>
      <w:kern w:val="44"/>
      <w:sz w:val="44"/>
      <w:szCs w:val="44"/>
    </w:rPr>
  </w:style>
  <w:style w:type="character" w:customStyle="1" w:styleId="28">
    <w:name w:val="标题 2 字符"/>
    <w:basedOn w:val="22"/>
    <w:link w:val="6"/>
    <w:qFormat/>
    <w:uiPriority w:val="0"/>
    <w:rPr>
      <w:rFonts w:ascii="Arial" w:hAnsi="Arial" w:eastAsia="仿宋"/>
      <w:b/>
      <w:bCs/>
      <w:sz w:val="28"/>
      <w:szCs w:val="32"/>
    </w:rPr>
  </w:style>
  <w:style w:type="character" w:customStyle="1" w:styleId="29">
    <w:name w:val="标题 3 字符"/>
    <w:basedOn w:val="22"/>
    <w:link w:val="7"/>
    <w:qFormat/>
    <w:uiPriority w:val="0"/>
    <w:rPr>
      <w:rFonts w:eastAsia="仿宋"/>
      <w:b/>
      <w:sz w:val="30"/>
    </w:rPr>
  </w:style>
  <w:style w:type="character" w:customStyle="1" w:styleId="30">
    <w:name w:val="正文文本 字符"/>
    <w:basedOn w:val="22"/>
    <w:link w:val="11"/>
    <w:qFormat/>
    <w:uiPriority w:val="0"/>
  </w:style>
  <w:style w:type="character" w:customStyle="1" w:styleId="31">
    <w:name w:val="批注文字 字符"/>
    <w:basedOn w:val="22"/>
    <w:link w:val="10"/>
    <w:qFormat/>
    <w:uiPriority w:val="0"/>
  </w:style>
  <w:style w:type="character" w:customStyle="1" w:styleId="32">
    <w:name w:val="正文文本缩进 2 字符"/>
    <w:basedOn w:val="22"/>
    <w:link w:val="14"/>
    <w:qFormat/>
    <w:uiPriority w:val="0"/>
    <w:rPr>
      <w:sz w:val="32"/>
    </w:rPr>
  </w:style>
  <w:style w:type="character" w:customStyle="1" w:styleId="33">
    <w:name w:val="副标题 字符"/>
    <w:basedOn w:val="22"/>
    <w:link w:val="17"/>
    <w:qFormat/>
    <w:uiPriority w:val="0"/>
    <w:rPr>
      <w:sz w:val="28"/>
    </w:rPr>
  </w:style>
  <w:style w:type="character" w:customStyle="1" w:styleId="34">
    <w:name w:val="正文文本首行缩进 字符"/>
    <w:basedOn w:val="30"/>
    <w:link w:val="19"/>
    <w:qFormat/>
    <w:uiPriority w:val="0"/>
    <w:rPr>
      <w:rFonts w:ascii="宋体" w:hAnsi="宋体"/>
      <w:sz w:val="24"/>
    </w:rPr>
  </w:style>
  <w:style w:type="paragraph" w:customStyle="1" w:styleId="35">
    <w:name w:val="13、表格内居中正文"/>
    <w:basedOn w:val="1"/>
    <w:qFormat/>
    <w:uiPriority w:val="0"/>
    <w:pPr>
      <w:wordWrap w:val="0"/>
      <w:topLinePunct/>
      <w:spacing w:line="360" w:lineRule="exact"/>
      <w:jc w:val="center"/>
    </w:pPr>
    <w:rPr>
      <w:rFonts w:ascii="宋体" w:hAnsi="宋体" w:eastAsia="宋体"/>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szCs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paragraph" w:customStyle="1" w:styleId="39">
    <w:name w:val="列出段落1"/>
    <w:basedOn w:val="1"/>
    <w:qFormat/>
    <w:uiPriority w:val="0"/>
    <w:pPr>
      <w:ind w:firstLine="420" w:firstLineChars="200"/>
    </w:pPr>
    <w:rPr>
      <w:szCs w:val="24"/>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2">
    <w:name w:val="font31"/>
    <w:qFormat/>
    <w:uiPriority w:val="0"/>
    <w:rPr>
      <w:rFonts w:hint="eastAsia" w:ascii="宋体" w:hAnsi="宋体" w:eastAsia="宋体" w:cs="宋体"/>
      <w:b/>
      <w:color w:val="000000"/>
      <w:sz w:val="22"/>
      <w:szCs w:val="22"/>
      <w:u w:val="none"/>
    </w:rPr>
  </w:style>
  <w:style w:type="character" w:customStyle="1" w:styleId="43">
    <w:name w:val="font21"/>
    <w:qFormat/>
    <w:uiPriority w:val="0"/>
    <w:rPr>
      <w:rFonts w:hint="eastAsia" w:ascii="宋体" w:hAnsi="宋体" w:eastAsia="宋体" w:cs="宋体"/>
      <w:color w:val="000000"/>
      <w:sz w:val="20"/>
      <w:szCs w:val="20"/>
      <w:u w:val="none"/>
    </w:rPr>
  </w:style>
  <w:style w:type="character" w:customStyle="1" w:styleId="44">
    <w:name w:val="font81"/>
    <w:qFormat/>
    <w:uiPriority w:val="0"/>
    <w:rPr>
      <w:rFonts w:hint="eastAsia" w:ascii="宋体" w:hAnsi="宋体" w:eastAsia="宋体" w:cs="宋体"/>
      <w:b/>
      <w:color w:val="000000"/>
      <w:sz w:val="22"/>
      <w:szCs w:val="22"/>
      <w:u w:val="none"/>
    </w:rPr>
  </w:style>
  <w:style w:type="character" w:customStyle="1" w:styleId="45">
    <w:name w:val="日期 字符"/>
    <w:basedOn w:val="22"/>
    <w:link w:val="13"/>
    <w:semiHidden/>
    <w:qFormat/>
    <w:uiPriority w:val="99"/>
    <w:rPr>
      <w:kern w:val="2"/>
      <w:sz w:val="21"/>
      <w:szCs w:val="22"/>
    </w:rPr>
  </w:style>
  <w:style w:type="character" w:customStyle="1" w:styleId="46">
    <w:name w:val="批注主题 字符"/>
    <w:basedOn w:val="31"/>
    <w:link w:val="18"/>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17074</Words>
  <Characters>18429</Characters>
  <Lines>141</Lines>
  <Paragraphs>39</Paragraphs>
  <TotalTime>1</TotalTime>
  <ScaleCrop>false</ScaleCrop>
  <LinksUpToDate>false</LinksUpToDate>
  <CharactersWithSpaces>18726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2023-06-02T12:30:00Z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BF2B1A6616854115B3000DA7DCFEEF67</vt:lpwstr>
  </property>
</Properties>
</file>