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2023年度工程项目跟踪审计服务</w:t>
      </w:r>
    </w:p>
    <w:p>
      <w:pPr>
        <w:snapToGrid w:val="0"/>
        <w:spacing w:line="360" w:lineRule="auto"/>
        <w:ind w:firstLine="3300" w:firstLineChars="1100"/>
        <w:rPr>
          <w:rFonts w:hAnsi="宋体" w:cs="宋体"/>
          <w:bCs/>
          <w:sz w:val="30"/>
          <w:szCs w:val="30"/>
        </w:rPr>
      </w:pPr>
      <w:r>
        <w:rPr>
          <w:rFonts w:hint="eastAsia" w:hAnsi="宋体" w:cs="宋体"/>
          <w:bCs/>
          <w:sz w:val="30"/>
          <w:szCs w:val="30"/>
        </w:rPr>
        <w:t>采购编号：TZY-ZB-2023008</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2023</w:t>
      </w:r>
      <w:r>
        <w:rPr>
          <w:rFonts w:hint="eastAsia" w:hAnsi="宋体" w:cs="宋体"/>
          <w:bCs/>
          <w:sz w:val="30"/>
          <w:szCs w:val="30"/>
          <w:lang w:val="zh-CN"/>
        </w:rPr>
        <w:t>年</w:t>
      </w:r>
      <w:r>
        <w:rPr>
          <w:rFonts w:hint="eastAsia" w:hAnsi="宋体" w:cs="宋体"/>
          <w:bCs/>
          <w:color w:val="000000" w:themeColor="text1"/>
          <w:sz w:val="30"/>
          <w:szCs w:val="30"/>
          <w:lang w:val="en-US" w:eastAsia="zh-CN"/>
          <w14:textFill>
            <w14:solidFill>
              <w14:schemeClr w14:val="tx1"/>
            </w14:solidFill>
          </w14:textFill>
        </w:rPr>
        <w:t>5</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4"/>
        <w:snapToGrid w:val="0"/>
        <w:spacing w:before="0" w:after="0" w:line="360" w:lineRule="auto"/>
        <w:jc w:val="center"/>
        <w:rPr>
          <w:rStyle w:val="39"/>
          <w:rFonts w:ascii="宋体" w:hAnsi="宋体" w:cs="宋体"/>
          <w:color w:val="auto"/>
          <w:kern w:val="2"/>
          <w:sz w:val="44"/>
          <w:szCs w:val="44"/>
          <w:u w:val="none"/>
        </w:rPr>
      </w:pPr>
      <w:r>
        <w:rPr>
          <w:rStyle w:val="39"/>
          <w:rFonts w:hint="eastAsia" w:ascii="宋体" w:hAnsi="宋体" w:cs="宋体"/>
          <w:color w:val="auto"/>
          <w:kern w:val="2"/>
          <w:sz w:val="44"/>
          <w:szCs w:val="44"/>
          <w:u w:val="none"/>
        </w:rPr>
        <w:t>目    录</w:t>
      </w:r>
    </w:p>
    <w:p/>
    <w:p>
      <w:pPr>
        <w:pStyle w:val="22"/>
        <w:tabs>
          <w:tab w:val="right" w:leader="dot" w:pos="9175"/>
        </w:tabs>
        <w:snapToGrid w:val="0"/>
        <w:spacing w:line="480" w:lineRule="auto"/>
        <w:ind w:firstLine="784" w:firstLineChars="28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22"/>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2</w:t>
      </w:r>
    </w:p>
    <w:p>
      <w:pPr>
        <w:pStyle w:val="22"/>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8</w:t>
      </w:r>
    </w:p>
    <w:p>
      <w:pPr>
        <w:pStyle w:val="22"/>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4</w:t>
      </w:r>
    </w:p>
    <w:p>
      <w:pPr>
        <w:pStyle w:val="22"/>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19"/>
      <w:bookmarkStart w:id="3" w:name="_Hlt360036320"/>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rPr>
        <w:t>1</w:t>
      </w:r>
      <w:r>
        <w:rPr>
          <w:rFonts w:hint="eastAsia" w:hAnsi="宋体" w:cs="宋体"/>
          <w:sz w:val="28"/>
          <w:szCs w:val="28"/>
          <w:lang w:val="en-US" w:eastAsia="zh-CN"/>
        </w:rPr>
        <w:t>5</w:t>
      </w:r>
    </w:p>
    <w:p>
      <w:pPr>
        <w:pStyle w:val="22"/>
        <w:tabs>
          <w:tab w:val="right" w:leader="dot" w:pos="9175"/>
        </w:tabs>
        <w:snapToGrid w:val="0"/>
        <w:spacing w:line="480" w:lineRule="auto"/>
        <w:ind w:firstLine="792" w:firstLineChars="233"/>
        <w:rPr>
          <w:rFonts w:hint="eastAsia" w:hAnsi="宋体" w:eastAsia="宋体" w:cs="宋体"/>
          <w:sz w:val="28"/>
          <w:szCs w:val="28"/>
          <w:lang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1</w:t>
      </w:r>
      <w:r>
        <w:rPr>
          <w:rFonts w:hint="eastAsia" w:hAnsi="宋体" w:cs="宋体"/>
          <w:sz w:val="28"/>
          <w:szCs w:val="28"/>
          <w:lang w:val="en-US" w:eastAsia="zh-CN"/>
        </w:rPr>
        <w:t>8</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pgNumType w:fmt="decimal"/>
          <w:cols w:space="720" w:num="1"/>
          <w:docGrid w:linePitch="312" w:charSpace="0"/>
        </w:sectPr>
      </w:pPr>
      <w:r>
        <w:rPr>
          <w:rFonts w:hint="eastAsia"/>
        </w:rPr>
        <w:tab/>
      </w:r>
    </w:p>
    <w:p>
      <w:pPr>
        <w:pStyle w:val="3"/>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2023年度工程项目跟踪审计服务 </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12"/>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rPr>
        <w:t xml:space="preserve">  TZY-ZB-2023008     </w:t>
      </w:r>
      <w:r>
        <w:rPr>
          <w:rFonts w:hint="eastAsia" w:hAnsi="宋体" w:cs="宋体"/>
          <w:bCs/>
          <w:sz w:val="24"/>
          <w:szCs w:val="24"/>
          <w:u w:val="single"/>
        </w:rPr>
        <w:t xml:space="preserve">     </w:t>
      </w:r>
    </w:p>
    <w:p>
      <w:pPr>
        <w:pStyle w:val="12"/>
        <w:numPr>
          <w:ilvl w:val="0"/>
          <w:numId w:val="2"/>
        </w:numPr>
        <w:snapToGrid w:val="0"/>
        <w:spacing w:line="360" w:lineRule="auto"/>
        <w:ind w:firstLine="441"/>
        <w:rPr>
          <w:rFonts w:ascii="宋体" w:hAnsi="宋体" w:cs="宋体"/>
          <w:bCs/>
          <w:sz w:val="24"/>
          <w:szCs w:val="24"/>
          <w:lang w:val="zh-CN"/>
        </w:rPr>
      </w:pPr>
      <w:r>
        <w:rPr>
          <w:rFonts w:hint="eastAsia" w:ascii="宋体" w:hAnsi="宋体" w:cs="宋体"/>
          <w:b/>
          <w:sz w:val="24"/>
          <w:szCs w:val="24"/>
        </w:rPr>
        <w:t>招标项目：</w:t>
      </w:r>
      <w:r>
        <w:rPr>
          <w:rFonts w:hint="eastAsia" w:hAnsi="宋体" w:cs="宋体"/>
          <w:bCs/>
          <w:sz w:val="24"/>
          <w:szCs w:val="24"/>
          <w:u w:val="single"/>
        </w:rPr>
        <w:t>2023年度工程项目跟踪审计服务</w:t>
      </w:r>
    </w:p>
    <w:p>
      <w:pPr>
        <w:pStyle w:val="12"/>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2"/>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12"/>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7.本项目不接受联合体参与招标。</w:t>
      </w:r>
    </w:p>
    <w:p>
      <w:pPr>
        <w:snapToGrid w:val="0"/>
        <w:spacing w:before="156" w:beforeLines="50" w:line="360" w:lineRule="auto"/>
        <w:ind w:firstLine="479" w:firstLineChars="199"/>
        <w:rPr>
          <w:rFonts w:hAnsi="宋体" w:cs="宋体"/>
          <w:color w:val="000000" w:themeColor="text1"/>
          <w:sz w:val="24"/>
          <w:szCs w:val="24"/>
          <w14:textFill>
            <w14:solidFill>
              <w14:schemeClr w14:val="tx1"/>
            </w14:solidFill>
          </w14:textFill>
        </w:rPr>
      </w:pPr>
      <w:r>
        <w:rPr>
          <w:rFonts w:hint="eastAsia" w:hAnsi="宋体" w:cs="宋体"/>
          <w:b/>
          <w:sz w:val="24"/>
          <w:szCs w:val="24"/>
        </w:rPr>
        <w:t>六、投标截止时间和开标时间： 2023</w:t>
      </w:r>
      <w:r>
        <w:rPr>
          <w:rFonts w:hint="eastAsia" w:hAnsi="宋体" w:cs="宋体"/>
          <w:bCs/>
          <w:sz w:val="24"/>
          <w:szCs w:val="24"/>
        </w:rPr>
        <w:t xml:space="preserve">年 </w:t>
      </w:r>
      <w:r>
        <w:rPr>
          <w:rFonts w:hint="eastAsia" w:hAnsi="宋体" w:cs="宋体"/>
          <w:bCs/>
          <w:sz w:val="24"/>
          <w:szCs w:val="24"/>
          <w:lang w:val="en-US" w:eastAsia="zh-CN"/>
        </w:rPr>
        <w:t>5</w:t>
      </w:r>
      <w:r>
        <w:rPr>
          <w:rFonts w:hint="eastAsia" w:hAnsi="宋体" w:cs="宋体"/>
          <w:bCs/>
          <w:sz w:val="24"/>
          <w:szCs w:val="24"/>
        </w:rPr>
        <w:t>月</w:t>
      </w:r>
      <w:r>
        <w:rPr>
          <w:rFonts w:hint="eastAsia" w:hAnsi="宋体" w:cs="宋体"/>
          <w:bCs/>
          <w:sz w:val="24"/>
          <w:szCs w:val="24"/>
          <w:lang w:val="en-US" w:eastAsia="zh-CN"/>
        </w:rPr>
        <w:t>17</w:t>
      </w:r>
      <w:r>
        <w:rPr>
          <w:rFonts w:hint="eastAsia" w:hAnsi="宋体" w:cs="宋体"/>
          <w:bCs/>
          <w:sz w:val="24"/>
          <w:szCs w:val="24"/>
        </w:rPr>
        <w:t xml:space="preserve"> 日 10 :00 </w:t>
      </w:r>
      <w:r>
        <w:rPr>
          <w:rFonts w:hint="eastAsia" w:hAnsi="宋体" w:cs="宋体"/>
          <w:sz w:val="24"/>
          <w:szCs w:val="24"/>
        </w:rPr>
        <w:t>（</w:t>
      </w:r>
      <w:r>
        <w:rPr>
          <w:rFonts w:hint="eastAsia" w:hAnsi="宋体" w:cs="宋体"/>
          <w:color w:val="000000" w:themeColor="text1"/>
          <w:sz w:val="24"/>
          <w:szCs w:val="24"/>
          <w14:textFill>
            <w14:solidFill>
              <w14:schemeClr w14:val="tx1"/>
            </w14:solidFill>
          </w14:textFill>
        </w:rPr>
        <w:t>北京时间）。</w:t>
      </w:r>
    </w:p>
    <w:p>
      <w:pPr>
        <w:pStyle w:val="12"/>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2"/>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四川成都郫都区安德街道彭温路399号后勤基建处办公区2F开标室</w:t>
      </w:r>
    </w:p>
    <w:p>
      <w:pPr>
        <w:pStyle w:val="72"/>
        <w:snapToGrid w:val="0"/>
        <w:ind w:firstLine="479" w:firstLineChars="199"/>
        <w:rPr>
          <w:rFonts w:hAnsi="宋体" w:cs="宋体"/>
          <w:b/>
          <w:sz w:val="24"/>
          <w:szCs w:val="24"/>
        </w:rPr>
      </w:pPr>
      <w:r>
        <w:rPr>
          <w:rFonts w:hint="eastAsia" w:hAnsi="宋体" w:cs="宋体"/>
          <w:b/>
          <w:sz w:val="24"/>
          <w:szCs w:val="24"/>
        </w:rPr>
        <w:t>八、联系方式</w:t>
      </w:r>
    </w:p>
    <w:p>
      <w:pPr>
        <w:pStyle w:val="72"/>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72"/>
        <w:snapToGrid w:val="0"/>
        <w:ind w:firstLine="919" w:firstLineChars="383"/>
        <w:rPr>
          <w:rFonts w:hAnsi="宋体" w:cs="宋体"/>
          <w:sz w:val="24"/>
        </w:rPr>
      </w:pPr>
      <w:r>
        <w:rPr>
          <w:rFonts w:hint="eastAsia" w:hAnsi="宋体" w:cs="宋体"/>
          <w:bCs/>
          <w:sz w:val="24"/>
        </w:rPr>
        <w:t xml:space="preserve">地址： </w:t>
      </w:r>
      <w:r>
        <w:rPr>
          <w:rFonts w:hint="eastAsia" w:hAnsi="宋体" w:cs="宋体"/>
          <w:sz w:val="24"/>
        </w:rPr>
        <w:t>四川成都郫都区安德街道彭温路399号</w:t>
      </w:r>
    </w:p>
    <w:p>
      <w:pPr>
        <w:pStyle w:val="72"/>
        <w:snapToGrid w:val="0"/>
        <w:ind w:firstLine="919" w:firstLineChars="383"/>
        <w:rPr>
          <w:rFonts w:hAnsi="宋体" w:cs="宋体"/>
          <w:sz w:val="24"/>
        </w:rPr>
      </w:pPr>
      <w:r>
        <w:rPr>
          <w:rFonts w:hint="eastAsia" w:hAnsi="宋体" w:cs="宋体"/>
          <w:sz w:val="24"/>
        </w:rPr>
        <w:t xml:space="preserve">联系人：贺老师 、肖老师 </w:t>
      </w:r>
    </w:p>
    <w:p>
      <w:pPr>
        <w:pStyle w:val="72"/>
        <w:snapToGrid w:val="0"/>
        <w:ind w:firstLine="919" w:firstLineChars="383"/>
        <w:rPr>
          <w:rFonts w:hAnsi="宋体" w:cs="宋体"/>
          <w:sz w:val="24"/>
        </w:rPr>
      </w:pPr>
      <w:r>
        <w:rPr>
          <w:rFonts w:hint="eastAsia" w:hAnsi="宋体" w:cs="宋体"/>
          <w:sz w:val="24"/>
        </w:rPr>
        <w:t>联系电话：028-68939875</w:t>
      </w:r>
    </w:p>
    <w:p>
      <w:pPr>
        <w:pStyle w:val="3"/>
        <w:snapToGrid w:val="0"/>
        <w:spacing w:before="0" w:after="0" w:line="360" w:lineRule="auto"/>
        <w:jc w:val="center"/>
        <w:rPr>
          <w:rFonts w:hAnsi="宋体" w:cs="宋体"/>
          <w:sz w:val="30"/>
          <w:szCs w:val="30"/>
        </w:rPr>
      </w:pPr>
      <w:bookmarkStart w:id="5" w:name="_Toc213496267"/>
      <w:bookmarkStart w:id="6" w:name="_Toc217446031"/>
      <w:bookmarkStart w:id="7" w:name="_Toc213396945"/>
      <w:bookmarkStart w:id="8" w:name="_Toc213397009"/>
      <w:bookmarkStart w:id="9" w:name="_Toc213396759"/>
      <w:bookmarkStart w:id="10" w:name="_Toc358883242"/>
      <w:r>
        <w:rPr>
          <w:rFonts w:hint="eastAsia" w:hAnsi="宋体" w:cs="宋体"/>
          <w:sz w:val="30"/>
          <w:szCs w:val="30"/>
        </w:rPr>
        <w:t>第二章  投标人须知</w:t>
      </w:r>
      <w:bookmarkEnd w:id="5"/>
      <w:bookmarkEnd w:id="6"/>
      <w:bookmarkEnd w:id="7"/>
      <w:bookmarkEnd w:id="8"/>
      <w:bookmarkEnd w:id="9"/>
      <w:bookmarkEnd w:id="10"/>
    </w:p>
    <w:p>
      <w:pPr>
        <w:pStyle w:val="4"/>
        <w:snapToGrid w:val="0"/>
        <w:spacing w:before="0" w:after="0" w:line="360" w:lineRule="auto"/>
        <w:jc w:val="center"/>
        <w:rPr>
          <w:rFonts w:ascii="宋体" w:hAnsi="宋体" w:eastAsia="宋体" w:cs="宋体"/>
          <w:sz w:val="30"/>
          <w:szCs w:val="30"/>
        </w:rPr>
      </w:pPr>
      <w:bookmarkStart w:id="11" w:name="_Toc213396946"/>
      <w:bookmarkStart w:id="12" w:name="_Toc189727030"/>
      <w:bookmarkStart w:id="13" w:name="_Toc213496268"/>
      <w:bookmarkStart w:id="14" w:name="_Toc217446032"/>
      <w:bookmarkStart w:id="15" w:name="_Toc213396760"/>
      <w:bookmarkStart w:id="16" w:name="_Toc21339701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33"/>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89"/>
        <w:gridCol w:w="2098"/>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374" w:hRule="exact"/>
          <w:tblHeader/>
          <w:jc w:val="center"/>
        </w:trPr>
        <w:tc>
          <w:tcPr>
            <w:tcW w:w="589" w:type="dxa"/>
            <w:vAlign w:val="center"/>
          </w:tcPr>
          <w:p>
            <w:pPr>
              <w:pStyle w:val="74"/>
              <w:snapToGrid w:val="0"/>
              <w:spacing w:line="360" w:lineRule="auto"/>
              <w:jc w:val="center"/>
              <w:rPr>
                <w:lang w:val="zh-CN"/>
              </w:rPr>
            </w:pPr>
            <w:r>
              <w:rPr>
                <w:rFonts w:hint="eastAsia"/>
                <w:lang w:val="zh-CN"/>
              </w:rPr>
              <w:t xml:space="preserve">序号 </w:t>
            </w:r>
          </w:p>
        </w:tc>
        <w:tc>
          <w:tcPr>
            <w:tcW w:w="2098" w:type="dxa"/>
            <w:vAlign w:val="center"/>
          </w:tcPr>
          <w:p>
            <w:pPr>
              <w:pStyle w:val="74"/>
              <w:snapToGrid w:val="0"/>
              <w:spacing w:line="360" w:lineRule="auto"/>
              <w:jc w:val="center"/>
              <w:rPr>
                <w:lang w:val="zh-CN"/>
              </w:rPr>
            </w:pPr>
            <w:r>
              <w:rPr>
                <w:rFonts w:hint="eastAsia"/>
                <w:lang w:val="zh-CN"/>
              </w:rPr>
              <w:t xml:space="preserve">应知事项 </w:t>
            </w:r>
          </w:p>
        </w:tc>
        <w:tc>
          <w:tcPr>
            <w:tcW w:w="6819" w:type="dxa"/>
            <w:vAlign w:val="center"/>
          </w:tcPr>
          <w:p>
            <w:pPr>
              <w:pStyle w:val="74"/>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3" w:hRule="exact"/>
          <w:jc w:val="center"/>
        </w:trPr>
        <w:tc>
          <w:tcPr>
            <w:tcW w:w="589" w:type="dxa"/>
            <w:vAlign w:val="center"/>
          </w:tcPr>
          <w:p>
            <w:pPr>
              <w:pStyle w:val="74"/>
              <w:snapToGrid w:val="0"/>
              <w:spacing w:line="360" w:lineRule="auto"/>
              <w:jc w:val="center"/>
            </w:pPr>
            <w:r>
              <w:rPr>
                <w:rFonts w:hint="eastAsia"/>
              </w:rPr>
              <w:t>1</w:t>
            </w:r>
          </w:p>
        </w:tc>
        <w:tc>
          <w:tcPr>
            <w:tcW w:w="2098" w:type="dxa"/>
            <w:vAlign w:val="center"/>
          </w:tcPr>
          <w:p>
            <w:pPr>
              <w:pStyle w:val="74"/>
              <w:snapToGrid w:val="0"/>
              <w:spacing w:line="360" w:lineRule="auto"/>
              <w:jc w:val="center"/>
              <w:rPr>
                <w:lang w:val="zh-CN"/>
              </w:rPr>
            </w:pPr>
            <w:r>
              <w:rPr>
                <w:rFonts w:hint="eastAsia"/>
                <w:lang w:val="zh-CN"/>
              </w:rPr>
              <w:t>采购人</w:t>
            </w:r>
          </w:p>
        </w:tc>
        <w:tc>
          <w:tcPr>
            <w:tcW w:w="6819" w:type="dxa"/>
            <w:vAlign w:val="center"/>
          </w:tcPr>
          <w:p>
            <w:pPr>
              <w:pStyle w:val="72"/>
              <w:snapToGrid w:val="0"/>
              <w:spacing w:line="240" w:lineRule="auto"/>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74"/>
              <w:snapToGrid w:val="0"/>
              <w:ind w:firstLine="240" w:firstLineChars="100"/>
              <w:rPr>
                <w:lang w:val="zh-CN"/>
              </w:rPr>
            </w:pPr>
            <w:r>
              <w:rPr>
                <w:rFonts w:hint="eastAsia"/>
                <w:lang w:val="zh-CN"/>
              </w:rPr>
              <w:t>地址：</w:t>
            </w:r>
            <w:r>
              <w:rPr>
                <w:rFonts w:hint="eastAsia"/>
              </w:rPr>
              <w:t>四川成都郫都区安德街道彭温路399号</w:t>
            </w:r>
          </w:p>
          <w:p>
            <w:pPr>
              <w:pStyle w:val="74"/>
              <w:snapToGrid w:val="0"/>
              <w:ind w:firstLine="240" w:firstLineChars="100"/>
            </w:pPr>
            <w:r>
              <w:rPr>
                <w:rFonts w:hint="eastAsia"/>
                <w:lang w:val="zh-CN"/>
              </w:rPr>
              <w:t>联 系 人：</w:t>
            </w:r>
            <w:r>
              <w:rPr>
                <w:rFonts w:hint="eastAsia"/>
              </w:rPr>
              <w:t>贺老师、肖老师</w:t>
            </w:r>
          </w:p>
          <w:p>
            <w:pPr>
              <w:pStyle w:val="74"/>
              <w:snapToGrid w:val="0"/>
              <w:ind w:firstLine="240" w:firstLineChars="100"/>
            </w:pPr>
            <w:r>
              <w:rPr>
                <w:rFonts w:hint="eastAsia"/>
                <w:lang w:val="zh-CN"/>
              </w:rPr>
              <w:t>联系电话：</w:t>
            </w:r>
            <w:r>
              <w:rPr>
                <w:rFonts w:hint="eastAsia"/>
              </w:rPr>
              <w:t>028-68939875、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9" w:hRule="atLeast"/>
          <w:jc w:val="center"/>
        </w:trPr>
        <w:tc>
          <w:tcPr>
            <w:tcW w:w="589" w:type="dxa"/>
            <w:vAlign w:val="center"/>
          </w:tcPr>
          <w:p>
            <w:pPr>
              <w:pStyle w:val="74"/>
              <w:snapToGrid w:val="0"/>
              <w:spacing w:line="360" w:lineRule="auto"/>
              <w:jc w:val="center"/>
            </w:pPr>
            <w:r>
              <w:rPr>
                <w:rFonts w:hint="eastAsia"/>
              </w:rPr>
              <w:t>2</w:t>
            </w:r>
          </w:p>
        </w:tc>
        <w:tc>
          <w:tcPr>
            <w:tcW w:w="2098" w:type="dxa"/>
            <w:vAlign w:val="center"/>
          </w:tcPr>
          <w:p>
            <w:pPr>
              <w:pStyle w:val="74"/>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74"/>
              <w:snapToGrid w:val="0"/>
              <w:spacing w:line="360" w:lineRule="auto"/>
              <w:ind w:firstLine="240" w:firstLineChars="100"/>
              <w:rPr>
                <w:lang w:val="zh-CN"/>
              </w:rPr>
            </w:pPr>
            <w:r>
              <w:rPr>
                <w:rFonts w:hint="eastAsia"/>
                <w:lang w:val="zh-CN"/>
              </w:rPr>
              <w:t>2023年度工程项目跟踪审计服务采购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5" w:hRule="atLeast"/>
          <w:jc w:val="center"/>
        </w:trPr>
        <w:tc>
          <w:tcPr>
            <w:tcW w:w="589" w:type="dxa"/>
            <w:vAlign w:val="center"/>
          </w:tcPr>
          <w:p>
            <w:pPr>
              <w:pStyle w:val="74"/>
              <w:snapToGrid w:val="0"/>
              <w:spacing w:line="360" w:lineRule="auto"/>
              <w:jc w:val="center"/>
            </w:pPr>
            <w:r>
              <w:rPr>
                <w:rFonts w:hint="eastAsia"/>
              </w:rPr>
              <w:t>3</w:t>
            </w:r>
          </w:p>
        </w:tc>
        <w:tc>
          <w:tcPr>
            <w:tcW w:w="2098" w:type="dxa"/>
            <w:vAlign w:val="center"/>
          </w:tcPr>
          <w:p>
            <w:pPr>
              <w:pStyle w:val="74"/>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74"/>
              <w:snapToGrid w:val="0"/>
              <w:spacing w:line="360" w:lineRule="auto"/>
            </w:pPr>
            <w:r>
              <w:rPr>
                <w:rFonts w:hint="eastAsia"/>
              </w:rPr>
              <w:t>TZY-ZB-2023008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5" w:hRule="atLeast"/>
          <w:jc w:val="center"/>
        </w:trPr>
        <w:tc>
          <w:tcPr>
            <w:tcW w:w="589" w:type="dxa"/>
            <w:vAlign w:val="center"/>
          </w:tcPr>
          <w:p>
            <w:pPr>
              <w:pStyle w:val="74"/>
              <w:snapToGrid w:val="0"/>
              <w:spacing w:line="360" w:lineRule="auto"/>
              <w:jc w:val="center"/>
            </w:pPr>
            <w:r>
              <w:rPr>
                <w:rFonts w:hint="eastAsia"/>
              </w:rPr>
              <w:t>4</w:t>
            </w:r>
          </w:p>
        </w:tc>
        <w:tc>
          <w:tcPr>
            <w:tcW w:w="2098" w:type="dxa"/>
            <w:vAlign w:val="center"/>
          </w:tcPr>
          <w:p>
            <w:pPr>
              <w:pStyle w:val="74"/>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74"/>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5" w:hRule="atLeast"/>
          <w:jc w:val="center"/>
        </w:trPr>
        <w:tc>
          <w:tcPr>
            <w:tcW w:w="589" w:type="dxa"/>
            <w:vAlign w:val="center"/>
          </w:tcPr>
          <w:p>
            <w:pPr>
              <w:pStyle w:val="74"/>
              <w:snapToGrid w:val="0"/>
              <w:spacing w:line="360" w:lineRule="auto"/>
              <w:jc w:val="center"/>
              <w:rPr>
                <w:lang w:val="zh-CN"/>
              </w:rPr>
            </w:pPr>
            <w:r>
              <w:rPr>
                <w:rFonts w:hint="eastAsia"/>
              </w:rPr>
              <w:t>5</w:t>
            </w:r>
          </w:p>
        </w:tc>
        <w:tc>
          <w:tcPr>
            <w:tcW w:w="2098" w:type="dxa"/>
            <w:vAlign w:val="center"/>
          </w:tcPr>
          <w:p>
            <w:pPr>
              <w:pStyle w:val="74"/>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74"/>
              <w:snapToGrid w:val="0"/>
              <w:spacing w:line="360" w:lineRule="auto"/>
              <w:ind w:firstLine="240" w:firstLineChars="100"/>
            </w:pPr>
            <w:r>
              <w:rPr>
                <w:rFonts w:hint="eastAsia"/>
              </w:rPr>
              <w:t>6万元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2" w:hRule="atLeast"/>
          <w:jc w:val="center"/>
        </w:trPr>
        <w:tc>
          <w:tcPr>
            <w:tcW w:w="589" w:type="dxa"/>
            <w:vAlign w:val="center"/>
          </w:tcPr>
          <w:p>
            <w:pPr>
              <w:pStyle w:val="74"/>
              <w:snapToGrid w:val="0"/>
              <w:spacing w:line="360" w:lineRule="auto"/>
              <w:jc w:val="center"/>
            </w:pPr>
            <w:r>
              <w:rPr>
                <w:rFonts w:hint="eastAsia"/>
              </w:rPr>
              <w:t>6</w:t>
            </w:r>
          </w:p>
        </w:tc>
        <w:tc>
          <w:tcPr>
            <w:tcW w:w="2098" w:type="dxa"/>
            <w:vAlign w:val="center"/>
          </w:tcPr>
          <w:p>
            <w:pPr>
              <w:pStyle w:val="74"/>
              <w:snapToGrid w:val="0"/>
              <w:jc w:val="center"/>
              <w:rPr>
                <w:lang w:val="zh-CN"/>
              </w:rPr>
            </w:pPr>
            <w:r>
              <w:rPr>
                <w:rFonts w:hint="eastAsia"/>
                <w:lang w:val="zh-CN"/>
              </w:rPr>
              <w:t>构成招标文件的其他文件</w:t>
            </w:r>
          </w:p>
        </w:tc>
        <w:tc>
          <w:tcPr>
            <w:tcW w:w="6819" w:type="dxa"/>
            <w:vAlign w:val="center"/>
          </w:tcPr>
          <w:p>
            <w:pPr>
              <w:pStyle w:val="74"/>
              <w:snapToGrid w:val="0"/>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89" w:type="dxa"/>
            <w:vAlign w:val="center"/>
          </w:tcPr>
          <w:p>
            <w:pPr>
              <w:pStyle w:val="74"/>
              <w:snapToGrid w:val="0"/>
              <w:spacing w:line="360" w:lineRule="auto"/>
              <w:jc w:val="center"/>
              <w:rPr>
                <w:lang w:val="zh-CN"/>
              </w:rPr>
            </w:pPr>
            <w:r>
              <w:rPr>
                <w:rFonts w:hint="eastAsia"/>
              </w:rPr>
              <w:t>7</w:t>
            </w:r>
          </w:p>
        </w:tc>
        <w:tc>
          <w:tcPr>
            <w:tcW w:w="2098" w:type="dxa"/>
            <w:vAlign w:val="center"/>
          </w:tcPr>
          <w:p>
            <w:pPr>
              <w:pStyle w:val="74"/>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74"/>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89" w:type="dxa"/>
            <w:vAlign w:val="center"/>
          </w:tcPr>
          <w:p>
            <w:pPr>
              <w:pStyle w:val="74"/>
              <w:snapToGrid w:val="0"/>
              <w:spacing w:line="360" w:lineRule="auto"/>
              <w:jc w:val="center"/>
              <w:rPr>
                <w:lang w:val="zh-CN"/>
              </w:rPr>
            </w:pPr>
            <w:r>
              <w:rPr>
                <w:rFonts w:hint="eastAsia"/>
              </w:rPr>
              <w:t>8</w:t>
            </w:r>
          </w:p>
        </w:tc>
        <w:tc>
          <w:tcPr>
            <w:tcW w:w="2098" w:type="dxa"/>
            <w:vAlign w:val="center"/>
          </w:tcPr>
          <w:p>
            <w:pPr>
              <w:pStyle w:val="74"/>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74"/>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89" w:type="dxa"/>
            <w:tcBorders>
              <w:top w:val="single" w:color="auto" w:sz="8" w:space="0"/>
              <w:left w:val="single" w:color="auto" w:sz="18" w:space="0"/>
              <w:bottom w:val="single" w:color="auto" w:sz="8" w:space="0"/>
              <w:right w:val="single" w:color="auto" w:sz="8" w:space="0"/>
            </w:tcBorders>
            <w:vAlign w:val="center"/>
          </w:tcPr>
          <w:p>
            <w:pPr>
              <w:pStyle w:val="74"/>
              <w:snapToGrid w:val="0"/>
              <w:spacing w:line="360" w:lineRule="auto"/>
              <w:jc w:val="center"/>
            </w:pPr>
            <w:r>
              <w:rPr>
                <w:rFonts w:hint="eastAsia"/>
              </w:rPr>
              <w:t>9</w:t>
            </w:r>
          </w:p>
        </w:tc>
        <w:tc>
          <w:tcPr>
            <w:tcW w:w="2098" w:type="dxa"/>
            <w:tcBorders>
              <w:top w:val="single" w:color="auto" w:sz="8" w:space="0"/>
              <w:left w:val="single" w:color="auto" w:sz="8" w:space="0"/>
              <w:bottom w:val="single" w:color="auto" w:sz="8" w:space="0"/>
              <w:right w:val="single" w:color="auto" w:sz="8" w:space="0"/>
            </w:tcBorders>
            <w:vAlign w:val="center"/>
          </w:tcPr>
          <w:p>
            <w:pPr>
              <w:pStyle w:val="74"/>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74"/>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89" w:type="dxa"/>
            <w:tcBorders>
              <w:top w:val="single" w:color="auto" w:sz="8" w:space="0"/>
              <w:left w:val="single" w:color="auto" w:sz="18" w:space="0"/>
              <w:bottom w:val="single" w:color="auto" w:sz="8" w:space="0"/>
              <w:right w:val="single" w:color="auto" w:sz="8" w:space="0"/>
            </w:tcBorders>
            <w:vAlign w:val="center"/>
          </w:tcPr>
          <w:p>
            <w:pPr>
              <w:pStyle w:val="74"/>
              <w:snapToGrid w:val="0"/>
              <w:spacing w:line="360" w:lineRule="auto"/>
              <w:jc w:val="center"/>
            </w:pPr>
            <w:r>
              <w:rPr>
                <w:rFonts w:hint="eastAsia"/>
              </w:rPr>
              <w:t>10</w:t>
            </w:r>
          </w:p>
        </w:tc>
        <w:tc>
          <w:tcPr>
            <w:tcW w:w="2098" w:type="dxa"/>
            <w:tcBorders>
              <w:top w:val="single" w:color="auto" w:sz="8" w:space="0"/>
              <w:left w:val="single" w:color="auto" w:sz="8" w:space="0"/>
              <w:bottom w:val="single" w:color="auto" w:sz="8" w:space="0"/>
              <w:right w:val="single" w:color="auto" w:sz="8" w:space="0"/>
            </w:tcBorders>
            <w:vAlign w:val="center"/>
          </w:tcPr>
          <w:p>
            <w:pPr>
              <w:pStyle w:val="74"/>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74"/>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89" w:type="dxa"/>
            <w:tcBorders>
              <w:top w:val="single" w:color="auto" w:sz="8" w:space="0"/>
              <w:left w:val="single" w:color="auto" w:sz="18" w:space="0"/>
              <w:bottom w:val="single" w:color="auto" w:sz="8" w:space="0"/>
              <w:right w:val="single" w:color="auto" w:sz="8" w:space="0"/>
            </w:tcBorders>
            <w:vAlign w:val="center"/>
          </w:tcPr>
          <w:p>
            <w:pPr>
              <w:pStyle w:val="74"/>
              <w:snapToGrid w:val="0"/>
              <w:spacing w:line="360" w:lineRule="auto"/>
              <w:jc w:val="center"/>
            </w:pPr>
            <w:r>
              <w:rPr>
                <w:rFonts w:hint="eastAsia"/>
              </w:rPr>
              <w:t>11</w:t>
            </w:r>
          </w:p>
        </w:tc>
        <w:tc>
          <w:tcPr>
            <w:tcW w:w="2098" w:type="dxa"/>
            <w:tcBorders>
              <w:top w:val="single" w:color="auto" w:sz="8" w:space="0"/>
              <w:left w:val="single" w:color="auto" w:sz="8" w:space="0"/>
              <w:bottom w:val="single" w:color="auto" w:sz="8" w:space="0"/>
              <w:right w:val="single" w:color="auto" w:sz="8" w:space="0"/>
            </w:tcBorders>
            <w:vAlign w:val="center"/>
          </w:tcPr>
          <w:p>
            <w:pPr>
              <w:pStyle w:val="74"/>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74"/>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atLeast"/>
          <w:jc w:val="center"/>
        </w:trPr>
        <w:tc>
          <w:tcPr>
            <w:tcW w:w="589" w:type="dxa"/>
            <w:tcBorders>
              <w:top w:val="single" w:color="auto" w:sz="8" w:space="0"/>
              <w:left w:val="single" w:color="auto" w:sz="18" w:space="0"/>
              <w:bottom w:val="single" w:color="auto" w:sz="8" w:space="0"/>
              <w:right w:val="single" w:color="auto" w:sz="8" w:space="0"/>
            </w:tcBorders>
            <w:vAlign w:val="center"/>
          </w:tcPr>
          <w:p>
            <w:pPr>
              <w:pStyle w:val="74"/>
              <w:snapToGrid w:val="0"/>
              <w:spacing w:line="360" w:lineRule="auto"/>
              <w:jc w:val="center"/>
            </w:pPr>
            <w:r>
              <w:rPr>
                <w:rFonts w:hint="eastAsia"/>
              </w:rPr>
              <w:t>12</w:t>
            </w:r>
          </w:p>
        </w:tc>
        <w:tc>
          <w:tcPr>
            <w:tcW w:w="2098" w:type="dxa"/>
            <w:tcBorders>
              <w:top w:val="single" w:color="auto" w:sz="8" w:space="0"/>
              <w:left w:val="single" w:color="auto" w:sz="8" w:space="0"/>
              <w:bottom w:val="single" w:color="auto" w:sz="8" w:space="0"/>
              <w:right w:val="single" w:color="auto" w:sz="8" w:space="0"/>
            </w:tcBorders>
            <w:vAlign w:val="center"/>
          </w:tcPr>
          <w:p>
            <w:pPr>
              <w:pStyle w:val="74"/>
              <w:snapToGrid w:val="0"/>
              <w:ind w:right="-170" w:rightChars="-50"/>
              <w:rPr>
                <w:lang w:val="zh-CN"/>
              </w:rPr>
            </w:pPr>
            <w:r>
              <w:rPr>
                <w:rFonts w:hint="eastAsia"/>
                <w:lang w:val="zh-CN"/>
              </w:rPr>
              <w:t>投标文件、投标报</w:t>
            </w:r>
          </w:p>
          <w:p>
            <w:pPr>
              <w:pStyle w:val="74"/>
              <w:snapToGrid w:val="0"/>
              <w:ind w:right="-170" w:rightChars="-50"/>
              <w:rPr>
                <w:lang w:val="zh-CN"/>
              </w:rPr>
            </w:pPr>
            <w:r>
              <w:rPr>
                <w:rFonts w:hint="eastAsia"/>
                <w:lang w:val="zh-CN"/>
              </w:rPr>
              <w:t>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74"/>
              <w:snapToGrid w:val="0"/>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9" w:hRule="atLeast"/>
          <w:jc w:val="center"/>
        </w:trPr>
        <w:tc>
          <w:tcPr>
            <w:tcW w:w="589" w:type="dxa"/>
            <w:tcBorders>
              <w:top w:val="single" w:color="auto" w:sz="8" w:space="0"/>
              <w:left w:val="single" w:color="auto" w:sz="18" w:space="0"/>
              <w:bottom w:val="single" w:color="auto" w:sz="8" w:space="0"/>
              <w:right w:val="single" w:color="auto" w:sz="8" w:space="0"/>
            </w:tcBorders>
            <w:vAlign w:val="center"/>
          </w:tcPr>
          <w:p>
            <w:pPr>
              <w:pStyle w:val="74"/>
              <w:snapToGrid w:val="0"/>
              <w:spacing w:line="360" w:lineRule="auto"/>
              <w:jc w:val="center"/>
            </w:pPr>
            <w:r>
              <w:rPr>
                <w:rFonts w:hint="eastAsia"/>
              </w:rPr>
              <w:t>13</w:t>
            </w:r>
          </w:p>
        </w:tc>
        <w:tc>
          <w:tcPr>
            <w:tcW w:w="2098" w:type="dxa"/>
            <w:tcBorders>
              <w:top w:val="single" w:color="auto" w:sz="8" w:space="0"/>
              <w:left w:val="single" w:color="auto" w:sz="8" w:space="0"/>
              <w:bottom w:val="single" w:color="auto" w:sz="8" w:space="0"/>
              <w:right w:val="single" w:color="auto" w:sz="8" w:space="0"/>
            </w:tcBorders>
            <w:vAlign w:val="center"/>
          </w:tcPr>
          <w:p>
            <w:pPr>
              <w:pStyle w:val="74"/>
              <w:snapToGrid w:val="0"/>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74"/>
              <w:snapToGrid w:val="0"/>
              <w:rPr>
                <w:lang w:val="zh-CN"/>
              </w:rPr>
            </w:pPr>
            <w:r>
              <w:rPr>
                <w:rFonts w:hint="eastAsia"/>
                <w:lang w:val="zh-CN"/>
              </w:rPr>
              <w:t>a.时间和地点详见 “投标邀请”;</w:t>
            </w:r>
          </w:p>
          <w:p>
            <w:pPr>
              <w:pStyle w:val="74"/>
              <w:snapToGrid w:val="0"/>
              <w:rPr>
                <w:lang w:val="zh-CN"/>
              </w:rPr>
            </w:pPr>
            <w:r>
              <w:rPr>
                <w:rFonts w:hint="eastAsia"/>
                <w:lang w:val="zh-CN"/>
              </w:rPr>
              <w:t>b.采购人在招标文件规定的时间和地点组织开标，投标人代表人执有效身份证参加。</w:t>
            </w:r>
          </w:p>
          <w:p>
            <w:pPr>
              <w:pStyle w:val="74"/>
              <w:snapToGrid w:val="0"/>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89" w:type="dxa"/>
            <w:tcBorders>
              <w:top w:val="single" w:color="auto" w:sz="8" w:space="0"/>
              <w:left w:val="single" w:color="auto" w:sz="18" w:space="0"/>
              <w:bottom w:val="single" w:color="auto" w:sz="8" w:space="0"/>
              <w:right w:val="single" w:color="auto" w:sz="8" w:space="0"/>
            </w:tcBorders>
            <w:vAlign w:val="center"/>
          </w:tcPr>
          <w:p>
            <w:pPr>
              <w:pStyle w:val="74"/>
              <w:snapToGrid w:val="0"/>
              <w:spacing w:line="360" w:lineRule="auto"/>
              <w:jc w:val="center"/>
            </w:pPr>
            <w:r>
              <w:rPr>
                <w:rFonts w:hint="eastAsia"/>
              </w:rPr>
              <w:t>14</w:t>
            </w:r>
          </w:p>
        </w:tc>
        <w:tc>
          <w:tcPr>
            <w:tcW w:w="2098" w:type="dxa"/>
            <w:tcBorders>
              <w:top w:val="single" w:color="auto" w:sz="8" w:space="0"/>
              <w:left w:val="single" w:color="auto" w:sz="8" w:space="0"/>
              <w:bottom w:val="single" w:color="auto" w:sz="8" w:space="0"/>
              <w:right w:val="single" w:color="auto" w:sz="8" w:space="0"/>
            </w:tcBorders>
            <w:vAlign w:val="center"/>
          </w:tcPr>
          <w:p>
            <w:pPr>
              <w:pStyle w:val="74"/>
              <w:snapToGrid w:val="0"/>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74"/>
              <w:snapToGrid w:val="0"/>
              <w:ind w:firstLine="240" w:firstLineChars="100"/>
              <w:rPr>
                <w:highlight w:val="none"/>
                <w:lang w:val="zh-CN"/>
              </w:rPr>
            </w:pPr>
            <w:r>
              <w:rPr>
                <w:rFonts w:hint="eastAsia"/>
                <w:highlight w:val="none"/>
                <w:lang w:val="zh-CN"/>
              </w:rPr>
              <w:t>时间：</w:t>
            </w:r>
            <w:r>
              <w:rPr>
                <w:rFonts w:hint="eastAsia"/>
                <w:highlight w:val="none"/>
              </w:rPr>
              <w:t xml:space="preserve">2023 </w:t>
            </w:r>
            <w:r>
              <w:rPr>
                <w:rFonts w:hint="eastAsia"/>
                <w:highlight w:val="none"/>
                <w:lang w:val="zh-CN"/>
              </w:rPr>
              <w:t>年</w:t>
            </w:r>
            <w:r>
              <w:rPr>
                <w:rFonts w:hint="eastAsia"/>
                <w:highlight w:val="none"/>
                <w:lang w:val="en-US" w:eastAsia="zh-CN"/>
              </w:rPr>
              <w:t>5</w:t>
            </w:r>
            <w:r>
              <w:rPr>
                <w:rFonts w:hint="eastAsia"/>
                <w:highlight w:val="none"/>
              </w:rPr>
              <w:t xml:space="preserve"> 月 </w:t>
            </w:r>
            <w:r>
              <w:rPr>
                <w:rFonts w:hint="eastAsia"/>
                <w:highlight w:val="none"/>
                <w:lang w:val="en-US" w:eastAsia="zh-CN"/>
              </w:rPr>
              <w:t>17</w:t>
            </w:r>
            <w:r>
              <w:rPr>
                <w:rFonts w:hint="eastAsia"/>
                <w:highlight w:val="none"/>
              </w:rPr>
              <w:t xml:space="preserve"> </w:t>
            </w:r>
            <w:r>
              <w:rPr>
                <w:rFonts w:hint="eastAsia"/>
                <w:highlight w:val="none"/>
                <w:lang w:val="zh-CN"/>
              </w:rPr>
              <w:t>日</w:t>
            </w:r>
            <w:r>
              <w:rPr>
                <w:rFonts w:hint="eastAsia"/>
                <w:highlight w:val="none"/>
                <w:lang w:val="en-US" w:eastAsia="zh-CN"/>
              </w:rPr>
              <w:t>10</w:t>
            </w:r>
            <w:r>
              <w:rPr>
                <w:rFonts w:hint="eastAsia"/>
                <w:highlight w:val="none"/>
              </w:rPr>
              <w:t xml:space="preserve"> :00</w:t>
            </w:r>
            <w:r>
              <w:rPr>
                <w:rFonts w:hint="eastAsia"/>
                <w:highlight w:val="none"/>
                <w:lang w:val="zh-CN"/>
              </w:rPr>
              <w:t>（北京时间）</w:t>
            </w:r>
          </w:p>
          <w:p>
            <w:pPr>
              <w:pStyle w:val="74"/>
              <w:snapToGrid w:val="0"/>
              <w:ind w:firstLine="240" w:firstLineChars="100"/>
            </w:pPr>
            <w:r>
              <w:rPr>
                <w:rFonts w:hint="eastAsia"/>
                <w:lang w:val="zh-CN"/>
              </w:rPr>
              <w:t>地点：</w:t>
            </w:r>
            <w:r>
              <w:rPr>
                <w:rFonts w:hint="eastAsia"/>
              </w:rPr>
              <w:t>四川成都郫县安德镇彭温路399号后勤基建2F开标室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589" w:type="dxa"/>
            <w:tcBorders>
              <w:top w:val="single" w:color="auto" w:sz="8" w:space="0"/>
              <w:left w:val="single" w:color="auto" w:sz="18" w:space="0"/>
              <w:bottom w:val="single" w:color="auto" w:sz="8" w:space="0"/>
              <w:right w:val="single" w:color="auto" w:sz="8" w:space="0"/>
            </w:tcBorders>
            <w:vAlign w:val="center"/>
          </w:tcPr>
          <w:p>
            <w:pPr>
              <w:pStyle w:val="74"/>
              <w:snapToGrid w:val="0"/>
              <w:spacing w:line="360" w:lineRule="auto"/>
              <w:jc w:val="center"/>
            </w:pPr>
            <w:r>
              <w:rPr>
                <w:rFonts w:hint="eastAsia"/>
              </w:rPr>
              <w:t>15</w:t>
            </w:r>
          </w:p>
        </w:tc>
        <w:tc>
          <w:tcPr>
            <w:tcW w:w="2098" w:type="dxa"/>
            <w:tcBorders>
              <w:top w:val="single" w:color="auto" w:sz="8" w:space="0"/>
              <w:left w:val="single" w:color="auto" w:sz="8" w:space="0"/>
              <w:bottom w:val="single" w:color="auto" w:sz="8" w:space="0"/>
              <w:right w:val="single" w:color="auto" w:sz="8" w:space="0"/>
            </w:tcBorders>
            <w:vAlign w:val="center"/>
          </w:tcPr>
          <w:p>
            <w:pPr>
              <w:pStyle w:val="74"/>
              <w:jc w:val="center"/>
              <w:rPr>
                <w:rFonts w:cs="Times New Roman"/>
                <w:kern w:val="2"/>
              </w:rPr>
            </w:pPr>
            <w:r>
              <w:rPr>
                <w:rFonts w:hint="eastAsia" w:cs="Times New Roman"/>
                <w:kern w:val="2"/>
              </w:rPr>
              <w:t>控制价</w:t>
            </w:r>
          </w:p>
        </w:tc>
        <w:tc>
          <w:tcPr>
            <w:tcW w:w="6819" w:type="dxa"/>
            <w:tcBorders>
              <w:top w:val="single" w:color="auto" w:sz="8" w:space="0"/>
              <w:left w:val="single" w:color="auto" w:sz="8" w:space="0"/>
              <w:bottom w:val="single" w:color="auto" w:sz="8" w:space="0"/>
              <w:right w:val="single" w:color="auto" w:sz="18" w:space="0"/>
            </w:tcBorders>
            <w:vAlign w:val="center"/>
          </w:tcPr>
          <w:p>
            <w:pPr>
              <w:pStyle w:val="74"/>
              <w:snapToGrid w:val="0"/>
              <w:spacing w:before="100" w:beforeAutospacing="1"/>
              <w:ind w:firstLine="480" w:firstLineChars="200"/>
              <w:rPr>
                <w:lang w:val="zh-CN"/>
              </w:rPr>
            </w:pPr>
            <w:r>
              <w:rPr>
                <w:rFonts w:hint="eastAsia"/>
                <w:lang w:val="zh-CN"/>
              </w:rPr>
              <w:t>最高限价：按四川省物价局、四川省建设厅《关于&lt;工程造价咨询服务收费标准&gt;的通知》（川价发【2008】141号）的相关收费标准下浮20%计取；审减效益费：效益审计费按建安工程造价审减金额的3%计取审减效益费。</w:t>
            </w:r>
            <w:r>
              <w:rPr>
                <w:lang w:val="zh-CN"/>
              </w:rPr>
              <w:br w:type="textWrapping" w:clear="all"/>
            </w:r>
            <w:r>
              <w:rPr>
                <w:rFonts w:hint="eastAsia"/>
                <w:lang w:val="zh-CN"/>
              </w:rPr>
              <w:t xml:space="preserve">    供应商参照四川省物价局、四川省建设厅关于《工程造价咨询服务收费标准》的通知川价发[2008]141号，《关于进一步放开建设项目专业服务价格的通知》（发改价格【2015】299号）等文件要求，由供应商综合考虑，自行报价；</w:t>
            </w:r>
          </w:p>
        </w:tc>
      </w:tr>
    </w:tbl>
    <w:p>
      <w:pPr>
        <w:pStyle w:val="4"/>
        <w:snapToGrid w:val="0"/>
        <w:spacing w:before="0" w:after="0" w:line="360" w:lineRule="auto"/>
        <w:jc w:val="center"/>
        <w:rPr>
          <w:rFonts w:ascii="宋体" w:hAnsi="宋体" w:eastAsia="宋体" w:cs="宋体"/>
          <w:sz w:val="30"/>
          <w:szCs w:val="30"/>
        </w:rPr>
      </w:pPr>
      <w:bookmarkStart w:id="17" w:name="_Toc217446038"/>
      <w:bookmarkStart w:id="18" w:name="_Toc89075875"/>
      <w:bookmarkStart w:id="19" w:name="_Toc183682346"/>
      <w:bookmarkStart w:id="20" w:name="_Toc183582209"/>
      <w:bookmarkStart w:id="21" w:name="_Toc77400779"/>
      <w:r>
        <w:rPr>
          <w:rFonts w:hint="eastAsia" w:ascii="宋体" w:hAnsi="宋体" w:eastAsia="宋体" w:cs="宋体"/>
          <w:sz w:val="30"/>
          <w:szCs w:val="30"/>
        </w:rPr>
        <w:t>二、招标文件</w:t>
      </w:r>
      <w:bookmarkEnd w:id="17"/>
      <w:bookmarkEnd w:id="18"/>
      <w:bookmarkEnd w:id="19"/>
      <w:bookmarkEnd w:id="20"/>
      <w:bookmarkEnd w:id="21"/>
    </w:p>
    <w:p>
      <w:pPr>
        <w:pStyle w:val="2"/>
        <w:snapToGrid w:val="0"/>
        <w:spacing w:before="0" w:after="0" w:line="360" w:lineRule="auto"/>
        <w:ind w:firstLine="161" w:firstLineChars="67"/>
        <w:rPr>
          <w:rFonts w:hAnsi="宋体" w:cs="宋体"/>
          <w:sz w:val="24"/>
          <w:szCs w:val="24"/>
        </w:rPr>
      </w:pPr>
      <w:bookmarkStart w:id="22" w:name="_Toc217446039"/>
      <w:bookmarkStart w:id="23" w:name="_Toc183582210"/>
      <w:bookmarkStart w:id="24" w:name="_Toc183682347"/>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2"/>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400" w:firstLineChars="1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480" w:firstLineChars="2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4"/>
        <w:snapToGrid w:val="0"/>
        <w:spacing w:before="0" w:after="0" w:line="360" w:lineRule="auto"/>
        <w:jc w:val="center"/>
        <w:rPr>
          <w:rFonts w:ascii="宋体" w:hAnsi="宋体" w:eastAsia="宋体" w:cs="宋体"/>
          <w:sz w:val="30"/>
          <w:szCs w:val="30"/>
        </w:rPr>
      </w:pPr>
      <w:bookmarkStart w:id="28" w:name="_Toc183682351"/>
      <w:bookmarkStart w:id="29" w:name="_Toc89075876"/>
      <w:bookmarkStart w:id="30" w:name="_Toc217446042"/>
      <w:bookmarkStart w:id="31" w:name="_Toc77400780"/>
      <w:bookmarkStart w:id="32" w:name="_Toc183582214"/>
      <w:r>
        <w:rPr>
          <w:rFonts w:hint="eastAsia" w:ascii="宋体" w:hAnsi="宋体" w:eastAsia="宋体" w:cs="宋体"/>
          <w:sz w:val="30"/>
          <w:szCs w:val="30"/>
        </w:rPr>
        <w:t>三、投标文件</w:t>
      </w:r>
      <w:bookmarkEnd w:id="28"/>
      <w:bookmarkEnd w:id="29"/>
      <w:bookmarkEnd w:id="30"/>
      <w:bookmarkEnd w:id="31"/>
      <w:bookmarkEnd w:id="32"/>
    </w:p>
    <w:p>
      <w:pPr>
        <w:pStyle w:val="2"/>
        <w:snapToGrid w:val="0"/>
        <w:spacing w:before="0" w:after="0" w:line="360" w:lineRule="auto"/>
        <w:ind w:firstLine="161" w:firstLineChars="67"/>
        <w:rPr>
          <w:rFonts w:hAnsi="宋体" w:cs="宋体"/>
          <w:sz w:val="24"/>
          <w:szCs w:val="24"/>
        </w:rPr>
      </w:pPr>
      <w:bookmarkStart w:id="33" w:name="_Toc217446043"/>
      <w:bookmarkStart w:id="34" w:name="_Toc183582215"/>
      <w:bookmarkStart w:id="35" w:name="_Toc183682352"/>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2"/>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本次招标项目的投标均以人民币报价。</w:t>
      </w:r>
    </w:p>
    <w:p>
      <w:pPr>
        <w:pStyle w:val="2"/>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2"/>
        <w:snapToGrid w:val="0"/>
        <w:spacing w:before="0" w:after="0" w:line="360" w:lineRule="auto"/>
        <w:ind w:firstLine="161" w:firstLineChars="67"/>
        <w:rPr>
          <w:rFonts w:hAnsi="宋体" w:cs="宋体"/>
          <w:sz w:val="24"/>
          <w:szCs w:val="24"/>
        </w:rPr>
      </w:pPr>
      <w:bookmarkStart w:id="38" w:name="_Toc217446048"/>
      <w:bookmarkStart w:id="39" w:name="_Toc183682354"/>
      <w:bookmarkStart w:id="40" w:name="_Toc183582217"/>
      <w:bookmarkStart w:id="41" w:name="_Toc358883246"/>
      <w:bookmarkStart w:id="42" w:name="_Toc217446093"/>
      <w:r>
        <w:rPr>
          <w:rFonts w:hint="eastAsia" w:hAnsi="宋体" w:cs="宋体"/>
          <w:sz w:val="24"/>
          <w:szCs w:val="24"/>
        </w:rPr>
        <w:t>6．投标文件的组成</w:t>
      </w:r>
      <w:bookmarkEnd w:id="38"/>
      <w:bookmarkEnd w:id="39"/>
      <w:bookmarkEnd w:id="40"/>
      <w:bookmarkStart w:id="43" w:name="_Toc183682355"/>
      <w:bookmarkStart w:id="44" w:name="_Toc183582218"/>
      <w:bookmarkStart w:id="45" w:name="_Toc217446049"/>
      <w:r>
        <w:rPr>
          <w:rFonts w:hint="eastAsia" w:hAnsi="宋体" w:cs="宋体"/>
          <w:sz w:val="24"/>
          <w:szCs w:val="24"/>
        </w:rPr>
        <w:t>。</w:t>
      </w:r>
    </w:p>
    <w:p>
      <w:pPr>
        <w:pStyle w:val="2"/>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2"/>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2"/>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2"/>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2"/>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2"/>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2"/>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12"/>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2"/>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2"/>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2"/>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2"/>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snapToGrid w:val="0"/>
        <w:spacing w:line="360" w:lineRule="auto"/>
        <w:ind w:firstLine="400" w:firstLineChars="167"/>
        <w:rPr>
          <w:rFonts w:hAnsi="宋体" w:cs="宋体"/>
          <w:sz w:val="24"/>
          <w:szCs w:val="24"/>
        </w:rPr>
      </w:pPr>
      <w:r>
        <w:rPr>
          <w:rFonts w:hint="eastAsia" w:hAnsi="宋体" w:cs="宋体"/>
          <w:sz w:val="24"/>
          <w:szCs w:val="24"/>
        </w:rPr>
        <w:t>7.2 技术部分。投标人按照招标文件要求做出的技术应答，主要是针对招标项目的技术指标、参数和技术要求做出的实质性响应和满足。投标人的技术应答包括下列内容（如涉及）：</w:t>
      </w:r>
    </w:p>
    <w:p>
      <w:pPr>
        <w:snapToGrid w:val="0"/>
        <w:spacing w:line="360" w:lineRule="auto"/>
        <w:ind w:firstLine="400" w:firstLineChars="167"/>
        <w:rPr>
          <w:rFonts w:hAnsi="宋体" w:cs="宋体"/>
          <w:sz w:val="24"/>
          <w:szCs w:val="24"/>
        </w:rPr>
      </w:pPr>
      <w:r>
        <w:rPr>
          <w:rFonts w:hint="eastAsia" w:hAnsi="宋体" w:cs="宋体"/>
          <w:sz w:val="24"/>
          <w:szCs w:val="24"/>
        </w:rPr>
        <w:t>（1）服务方案、项目实施方案等；</w:t>
      </w:r>
    </w:p>
    <w:p>
      <w:pPr>
        <w:snapToGrid w:val="0"/>
        <w:spacing w:line="360" w:lineRule="auto"/>
        <w:ind w:firstLine="400" w:firstLineChars="167"/>
        <w:rPr>
          <w:rFonts w:hAnsi="宋体" w:cs="宋体"/>
          <w:sz w:val="24"/>
          <w:szCs w:val="24"/>
        </w:rPr>
      </w:pPr>
      <w:r>
        <w:rPr>
          <w:rFonts w:hint="eastAsia" w:hAnsi="宋体" w:cs="宋体"/>
          <w:sz w:val="24"/>
          <w:szCs w:val="24"/>
        </w:rPr>
        <w:t>（2）验收标准和验收方法等；</w:t>
      </w:r>
    </w:p>
    <w:p>
      <w:pPr>
        <w:snapToGrid w:val="0"/>
        <w:spacing w:line="360" w:lineRule="auto"/>
        <w:ind w:firstLine="400" w:firstLineChars="167"/>
        <w:rPr>
          <w:rFonts w:hAnsi="宋体" w:cs="宋体"/>
          <w:sz w:val="24"/>
          <w:szCs w:val="24"/>
        </w:rPr>
      </w:pPr>
      <w:r>
        <w:rPr>
          <w:rFonts w:hint="eastAsia" w:hAnsi="宋体" w:cs="宋体"/>
          <w:sz w:val="24"/>
          <w:szCs w:val="24"/>
        </w:rPr>
        <w:t>（3）服务应答表；</w:t>
      </w:r>
    </w:p>
    <w:p>
      <w:pPr>
        <w:snapToGrid w:val="0"/>
        <w:spacing w:line="360" w:lineRule="auto"/>
        <w:ind w:firstLine="400" w:firstLineChars="167"/>
        <w:rPr>
          <w:rFonts w:hAnsi="宋体" w:cs="宋体"/>
          <w:sz w:val="24"/>
          <w:szCs w:val="24"/>
        </w:rPr>
      </w:pPr>
      <w:r>
        <w:rPr>
          <w:rFonts w:hint="eastAsia" w:hAnsi="宋体" w:cs="宋体"/>
          <w:sz w:val="24"/>
          <w:szCs w:val="24"/>
        </w:rPr>
        <w:t>（4）投标人认为需要提供的文件和资料。</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2"/>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2"/>
        <w:snapToGrid w:val="0"/>
        <w:spacing w:before="0" w:after="0" w:line="360" w:lineRule="auto"/>
        <w:ind w:firstLine="161" w:firstLineChars="67"/>
        <w:rPr>
          <w:rFonts w:hAnsi="宋体" w:cs="宋体"/>
          <w:sz w:val="24"/>
          <w:szCs w:val="24"/>
        </w:rPr>
      </w:pPr>
      <w:bookmarkStart w:id="46" w:name="_Toc183582224"/>
      <w:bookmarkStart w:id="47" w:name="_Toc217446051"/>
      <w:bookmarkStart w:id="48" w:name="_Toc18368236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投标有效期为开标后90天。</w:t>
      </w:r>
    </w:p>
    <w:p>
      <w:pPr>
        <w:pStyle w:val="2"/>
        <w:snapToGrid w:val="0"/>
        <w:spacing w:before="0" w:after="0" w:line="360" w:lineRule="auto"/>
        <w:ind w:firstLine="161" w:firstLineChars="67"/>
        <w:rPr>
          <w:rFonts w:hAnsi="宋体" w:cs="宋体"/>
          <w:sz w:val="24"/>
          <w:szCs w:val="24"/>
        </w:rPr>
      </w:pPr>
      <w:bookmarkStart w:id="49" w:name="_Toc183582226"/>
      <w:bookmarkStart w:id="50" w:name="_Toc183682363"/>
      <w:bookmarkStart w:id="51" w:name="_Toc89075877"/>
      <w:bookmarkStart w:id="52" w:name="_Toc77400781"/>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2"/>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2"/>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183682368"/>
      <w:bookmarkStart w:id="61" w:name="_Toc217446056"/>
      <w:bookmarkStart w:id="62" w:name="_Toc89075878"/>
      <w:bookmarkStart w:id="63" w:name="_Toc77400782"/>
      <w:bookmarkStart w:id="64" w:name="_Toc183582231"/>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183582232"/>
      <w:bookmarkStart w:id="67" w:name="_Toc217446057"/>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2"/>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2"/>
        <w:snapToGrid w:val="0"/>
        <w:spacing w:before="0" w:after="0" w:line="360" w:lineRule="auto"/>
        <w:ind w:firstLine="161" w:firstLineChars="67"/>
        <w:rPr>
          <w:rFonts w:hAnsi="宋体" w:cs="宋体"/>
          <w:sz w:val="24"/>
          <w:szCs w:val="24"/>
        </w:rPr>
      </w:pPr>
      <w:bookmarkStart w:id="68" w:name="_Toc183582238"/>
      <w:bookmarkStart w:id="69" w:name="_Toc183682375"/>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682377"/>
      <w:bookmarkStart w:id="73" w:name="_Toc183582240"/>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4"/>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4"/>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4"/>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4"/>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4"/>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8"/>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8"/>
        <w:snapToGrid w:val="0"/>
        <w:spacing w:line="360" w:lineRule="auto"/>
        <w:ind w:firstLine="160" w:firstLineChars="67"/>
        <w:rPr>
          <w:rFonts w:hAnsi="宋体" w:cs="宋体"/>
          <w:sz w:val="24"/>
        </w:rPr>
      </w:pPr>
      <w:r>
        <w:rPr>
          <w:rFonts w:hint="eastAsia" w:hAnsi="宋体" w:cs="宋体"/>
          <w:sz w:val="24"/>
        </w:rPr>
        <w:t>（1）提供虚假材料谋取中标；</w:t>
      </w:r>
    </w:p>
    <w:p>
      <w:pPr>
        <w:pStyle w:val="8"/>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8"/>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8"/>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8"/>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8"/>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8"/>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8"/>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4"/>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8"/>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在招标投标过程中，如有任何质疑，可向四川铁道职业学院纪检监察室询问，联系电话：028-68939875。</w:t>
      </w:r>
      <w:bookmarkStart w:id="84" w:name="_Toc358883243"/>
    </w:p>
    <w:p>
      <w:pPr>
        <w:pStyle w:val="18"/>
        <w:snapToGrid w:val="0"/>
        <w:spacing w:line="360" w:lineRule="auto"/>
        <w:ind w:firstLine="480" w:firstLineChars="200"/>
        <w:rPr>
          <w:rFonts w:hAnsi="宋体" w:cs="宋体"/>
          <w:sz w:val="24"/>
        </w:rPr>
      </w:pPr>
    </w:p>
    <w:p>
      <w:pPr>
        <w:pStyle w:val="18"/>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pStyle w:val="3"/>
        <w:snapToGrid w:val="0"/>
        <w:spacing w:before="0" w:after="0" w:line="360" w:lineRule="auto"/>
        <w:jc w:val="center"/>
        <w:rPr>
          <w:rFonts w:hAnsi="宋体" w:cs="宋体"/>
          <w:sz w:val="30"/>
          <w:szCs w:val="30"/>
        </w:rPr>
      </w:pPr>
    </w:p>
    <w:p>
      <w:pPr>
        <w:rPr>
          <w:rFonts w:ascii="Times New Roman"/>
        </w:rPr>
      </w:pPr>
    </w:p>
    <w:p>
      <w:pPr>
        <w:pStyle w:val="3"/>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4"/>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8"/>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8"/>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8"/>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8"/>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8"/>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8"/>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8"/>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8"/>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5、我方同意本次招标的投标有效期为90天。</w:t>
      </w:r>
    </w:p>
    <w:p>
      <w:pPr>
        <w:pStyle w:val="18"/>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8"/>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8"/>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8"/>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8"/>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8"/>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8"/>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8"/>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8"/>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8"/>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8"/>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8"/>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0041691"/>
      <w:bookmarkStart w:id="88" w:name="_Toc297204985"/>
      <w:bookmarkStart w:id="89" w:name="_Toc263753600"/>
      <w:bookmarkStart w:id="90" w:name="_Toc256175382"/>
      <w:bookmarkStart w:id="91" w:name="_Toc237145385"/>
      <w:bookmarkStart w:id="92" w:name="_Toc263768864"/>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pgNumType w:fmt="decimal" w:start="1"/>
          <w:cols w:space="720" w:num="1"/>
          <w:docGrid w:type="lines" w:linePitch="312" w:charSpace="0"/>
        </w:sectPr>
      </w:pPr>
    </w:p>
    <w:bookmarkEnd w:id="93"/>
    <w:p>
      <w:pPr>
        <w:pStyle w:val="4"/>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3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tcBorders>
              <w:bottom w:val="single" w:color="auto" w:sz="4" w:space="0"/>
            </w:tcBorders>
            <w:vAlign w:val="center"/>
          </w:tcPr>
          <w:p>
            <w:pPr>
              <w:snapToGrid w:val="0"/>
              <w:spacing w:line="360" w:lineRule="auto"/>
              <w:rPr>
                <w:rFonts w:ascii="仿宋_GB2312" w:eastAsia="仿宋_GB2312"/>
              </w:rPr>
            </w:pPr>
            <w:r>
              <w:rPr>
                <w:rFonts w:hint="eastAsia" w:ascii="仿宋_GB2312" w:eastAsia="仿宋_GB2312"/>
              </w:rPr>
              <w:t>四川铁道职业学院2023年度工程项目跟踪审计服务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tcBorders>
              <w:bottom w:val="single" w:color="auto" w:sz="4" w:space="0"/>
            </w:tcBorders>
            <w:vAlign w:val="center"/>
          </w:tcPr>
          <w:p>
            <w:pPr>
              <w:adjustRightInd w:val="0"/>
              <w:snapToGrid w:val="0"/>
              <w:jc w:val="left"/>
              <w:rPr>
                <w:rFonts w:ascii="仿宋_GB2312" w:hAnsi="宋体" w:eastAsia="仿宋_GB2312"/>
              </w:rPr>
            </w:pPr>
            <w:r>
              <w:rPr>
                <w:rFonts w:hint="eastAsia" w:ascii="仿宋_GB2312" w:hAnsi="宋体" w:eastAsia="仿宋_GB2312"/>
              </w:rPr>
              <w:t>结算审计报价：按四川省物价局、四川省建设厅《关于&lt;工程造价咨询服务收费标准&gt;的通知》（川价发【2008】141号）的相关收费标准下浮</w:t>
            </w:r>
            <w:r>
              <w:rPr>
                <w:rFonts w:hint="eastAsia" w:hAnsi="宋体" w:cs="宋体"/>
                <w:bCs/>
                <w:sz w:val="24"/>
                <w:szCs w:val="24"/>
              </w:rPr>
              <w:t>_______</w:t>
            </w:r>
            <w:r>
              <w:rPr>
                <w:rFonts w:hint="eastAsia" w:ascii="仿宋_GB2312" w:hAnsi="宋体" w:eastAsia="仿宋_GB2312"/>
              </w:rPr>
              <w:t>计取；</w:t>
            </w:r>
          </w:p>
          <w:p>
            <w:pPr>
              <w:adjustRightInd w:val="0"/>
              <w:snapToGrid w:val="0"/>
              <w:jc w:val="left"/>
              <w:rPr>
                <w:rFonts w:hAnsi="宋体" w:cs="宋体"/>
                <w:bCs/>
                <w:sz w:val="24"/>
                <w:szCs w:val="24"/>
                <w:u w:val="single"/>
              </w:rPr>
            </w:pPr>
            <w:r>
              <w:rPr>
                <w:rFonts w:hint="eastAsia" w:ascii="仿宋_GB2312" w:hAnsi="宋体" w:eastAsia="仿宋_GB2312"/>
              </w:rPr>
              <w:t>审减效益费：效益审计费按建安工程造价审减金额的</w:t>
            </w:r>
            <w:r>
              <w:rPr>
                <w:rFonts w:hint="eastAsia" w:hAnsi="宋体" w:cs="宋体"/>
                <w:bCs/>
                <w:sz w:val="24"/>
                <w:szCs w:val="24"/>
              </w:rPr>
              <w:t>_______</w:t>
            </w:r>
            <w:r>
              <w:rPr>
                <w:rFonts w:hint="eastAsia" w:ascii="仿宋_GB2312" w:hAnsi="宋体" w:eastAsia="仿宋_GB2312"/>
              </w:rPr>
              <w:t>计取审减效益费。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tcBorders>
              <w:top w:val="single" w:color="auto" w:sz="4" w:space="0"/>
            </w:tcBorders>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u w:val="single"/>
              </w:rPr>
              <w:t>最终结算金额不超过6万元。</w:t>
            </w: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2"/>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r>
        <w:rPr>
          <w:rFonts w:hint="eastAsia" w:ascii="宋体" w:hAnsi="宋体" w:eastAsia="宋体" w:cs="宋体"/>
        </w:rPr>
        <w:t>（如涉及）</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pgNumType w:fmt="decimal"/>
          <w:cols w:space="720" w:num="1"/>
          <w:docGrid w:type="lines" w:linePitch="312" w:charSpace="0"/>
        </w:sectPr>
      </w:pPr>
    </w:p>
    <w:p>
      <w:pPr>
        <w:pStyle w:val="4"/>
        <w:snapToGrid w:val="0"/>
        <w:spacing w:before="0" w:after="0" w:line="360" w:lineRule="auto"/>
        <w:jc w:val="center"/>
        <w:rPr>
          <w:rFonts w:ascii="宋体" w:hAnsi="宋体" w:eastAsia="宋体" w:cs="宋体"/>
        </w:rPr>
      </w:pPr>
      <w:bookmarkStart w:id="96" w:name="_Toc217446087"/>
    </w:p>
    <w:p>
      <w:pPr>
        <w:pStyle w:val="4"/>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21"/>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4"/>
        <w:snapToGrid w:val="0"/>
        <w:spacing w:before="0" w:after="0" w:line="360" w:lineRule="auto"/>
        <w:jc w:val="center"/>
        <w:rPr>
          <w:rFonts w:ascii="宋体" w:hAnsi="宋体" w:eastAsia="宋体" w:cs="宋体"/>
        </w:rPr>
      </w:pPr>
    </w:p>
    <w:p>
      <w:pPr>
        <w:pStyle w:val="4"/>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51"/>
        <w:gridCol w:w="2378"/>
        <w:gridCol w:w="2505"/>
        <w:gridCol w:w="1461"/>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2378" w:type="dxa"/>
            <w:vAlign w:val="center"/>
          </w:tcPr>
          <w:p>
            <w:pPr>
              <w:snapToGrid w:val="0"/>
              <w:spacing w:line="360" w:lineRule="auto"/>
              <w:jc w:val="center"/>
              <w:rPr>
                <w:rFonts w:hAnsi="宋体" w:cs="宋体"/>
                <w:bCs/>
                <w:sz w:val="24"/>
                <w:szCs w:val="24"/>
              </w:rPr>
            </w:pPr>
            <w:r>
              <w:rPr>
                <w:rFonts w:hint="eastAsia" w:hAnsi="宋体" w:cs="宋体"/>
                <w:bCs/>
                <w:sz w:val="24"/>
                <w:szCs w:val="24"/>
              </w:rPr>
              <w:t>报告名称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报告号</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报告时间</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vAlign w:val="center"/>
          </w:tcPr>
          <w:p>
            <w:pPr>
              <w:snapToGrid w:val="0"/>
              <w:spacing w:line="360" w:lineRule="auto"/>
              <w:jc w:val="left"/>
              <w:rPr>
                <w:rFonts w:hAnsi="宋体" w:cs="宋体"/>
                <w:sz w:val="24"/>
                <w:szCs w:val="24"/>
              </w:rPr>
            </w:pPr>
          </w:p>
        </w:tc>
        <w:tc>
          <w:tcPr>
            <w:tcW w:w="2378"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vAlign w:val="center"/>
          </w:tcPr>
          <w:p>
            <w:pPr>
              <w:snapToGrid w:val="0"/>
              <w:spacing w:line="360" w:lineRule="auto"/>
              <w:jc w:val="left"/>
              <w:rPr>
                <w:rFonts w:hAnsi="宋体" w:cs="宋体"/>
                <w:sz w:val="24"/>
                <w:szCs w:val="24"/>
              </w:rPr>
            </w:pPr>
          </w:p>
        </w:tc>
        <w:tc>
          <w:tcPr>
            <w:tcW w:w="2378"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vAlign w:val="center"/>
          </w:tcPr>
          <w:p>
            <w:pPr>
              <w:snapToGrid w:val="0"/>
              <w:spacing w:line="360" w:lineRule="auto"/>
              <w:jc w:val="left"/>
              <w:rPr>
                <w:rFonts w:hAnsi="宋体" w:cs="宋体"/>
                <w:sz w:val="24"/>
                <w:szCs w:val="24"/>
              </w:rPr>
            </w:pPr>
          </w:p>
        </w:tc>
        <w:tc>
          <w:tcPr>
            <w:tcW w:w="2378"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vAlign w:val="center"/>
          </w:tcPr>
          <w:p>
            <w:pPr>
              <w:snapToGrid w:val="0"/>
              <w:spacing w:line="360" w:lineRule="auto"/>
              <w:jc w:val="left"/>
              <w:rPr>
                <w:rFonts w:hAnsi="宋体" w:cs="宋体"/>
                <w:sz w:val="24"/>
                <w:szCs w:val="24"/>
              </w:rPr>
            </w:pPr>
          </w:p>
        </w:tc>
        <w:tc>
          <w:tcPr>
            <w:tcW w:w="2378"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tcBorders>
              <w:right w:val="single" w:color="auto" w:sz="4" w:space="0"/>
            </w:tcBorders>
            <w:vAlign w:val="center"/>
          </w:tcPr>
          <w:p>
            <w:pPr>
              <w:snapToGrid w:val="0"/>
              <w:spacing w:line="360" w:lineRule="auto"/>
              <w:jc w:val="left"/>
              <w:rPr>
                <w:rFonts w:hAnsi="宋体" w:cs="宋体"/>
                <w:sz w:val="24"/>
                <w:szCs w:val="24"/>
              </w:rPr>
            </w:pPr>
          </w:p>
        </w:tc>
        <w:tc>
          <w:tcPr>
            <w:tcW w:w="23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vAlign w:val="center"/>
          </w:tcPr>
          <w:p>
            <w:pPr>
              <w:snapToGrid w:val="0"/>
              <w:spacing w:line="360" w:lineRule="auto"/>
              <w:jc w:val="left"/>
              <w:rPr>
                <w:rFonts w:hAnsi="宋体" w:cs="宋体"/>
                <w:sz w:val="24"/>
                <w:szCs w:val="24"/>
              </w:rPr>
            </w:pPr>
          </w:p>
        </w:tc>
        <w:tc>
          <w:tcPr>
            <w:tcW w:w="2378"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vAlign w:val="center"/>
          </w:tcPr>
          <w:p>
            <w:pPr>
              <w:snapToGrid w:val="0"/>
              <w:spacing w:line="360" w:lineRule="auto"/>
              <w:jc w:val="left"/>
              <w:rPr>
                <w:rFonts w:hAnsi="宋体" w:cs="宋体"/>
                <w:sz w:val="24"/>
                <w:szCs w:val="24"/>
              </w:rPr>
            </w:pPr>
          </w:p>
        </w:tc>
        <w:tc>
          <w:tcPr>
            <w:tcW w:w="2378"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vAlign w:val="center"/>
          </w:tcPr>
          <w:p>
            <w:pPr>
              <w:snapToGrid w:val="0"/>
              <w:spacing w:line="360" w:lineRule="auto"/>
              <w:jc w:val="left"/>
              <w:rPr>
                <w:rFonts w:hAnsi="宋体" w:cs="宋体"/>
                <w:sz w:val="24"/>
                <w:szCs w:val="24"/>
              </w:rPr>
            </w:pPr>
          </w:p>
        </w:tc>
        <w:tc>
          <w:tcPr>
            <w:tcW w:w="2378"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951" w:type="dxa"/>
            <w:tcBorders>
              <w:bottom w:val="single" w:color="auto" w:sz="4" w:space="0"/>
            </w:tcBorders>
            <w:vAlign w:val="center"/>
          </w:tcPr>
          <w:p>
            <w:pPr>
              <w:snapToGrid w:val="0"/>
              <w:spacing w:line="360" w:lineRule="auto"/>
              <w:jc w:val="left"/>
              <w:rPr>
                <w:rFonts w:hAnsi="宋体" w:cs="宋体"/>
                <w:sz w:val="24"/>
                <w:szCs w:val="24"/>
              </w:rPr>
            </w:pPr>
          </w:p>
        </w:tc>
        <w:tc>
          <w:tcPr>
            <w:tcW w:w="2378"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投标人以上业绩需提供带防伪二维码的报告报备页复印件。表不够可另附。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rPr>
      </w:pPr>
    </w:p>
    <w:p>
      <w:pPr>
        <w:widowControl/>
        <w:jc w:val="left"/>
        <w:rPr>
          <w:rFonts w:hAnsi="宋体" w:cs="宋体"/>
        </w:rPr>
      </w:pPr>
      <w:r>
        <w:rPr>
          <w:rFonts w:hint="eastAsia" w:hAnsi="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pgNumType w:fmt="decimal"/>
          <w:cols w:space="720" w:num="1"/>
          <w:docGrid w:type="lines" w:linePitch="473" w:charSpace="0"/>
        </w:sectPr>
      </w:pPr>
    </w:p>
    <w:p>
      <w:pPr>
        <w:pStyle w:val="3"/>
        <w:numPr>
          <w:ilvl w:val="0"/>
          <w:numId w:val="6"/>
        </w:numPr>
        <w:snapToGrid w:val="0"/>
        <w:spacing w:before="0" w:after="187" w:afterLines="60" w:line="360" w:lineRule="auto"/>
        <w:jc w:val="center"/>
        <w:rPr>
          <w:rFonts w:hAnsi="宋体"/>
          <w:sz w:val="32"/>
          <w:szCs w:val="32"/>
        </w:rPr>
      </w:pPr>
      <w:bookmarkStart w:id="97" w:name="_Hlk42504294"/>
      <w:r>
        <w:rPr>
          <w:rFonts w:hint="eastAsia" w:hAnsi="宋体"/>
          <w:sz w:val="32"/>
          <w:szCs w:val="32"/>
        </w:rPr>
        <w:t>招标项目技术、商务及其他要求</w:t>
      </w:r>
    </w:p>
    <w:p>
      <w:r>
        <w:rPr>
          <w:rFonts w:hint="eastAsia"/>
          <w:sz w:val="24"/>
          <w:szCs w:val="24"/>
        </w:rPr>
        <w:t>一、项目概况：</w:t>
      </w:r>
    </w:p>
    <w:bookmarkEnd w:id="97"/>
    <w:p>
      <w:pPr>
        <w:pStyle w:val="3"/>
        <w:snapToGrid w:val="0"/>
        <w:spacing w:before="120" w:after="0" w:line="360" w:lineRule="auto"/>
        <w:ind w:firstLine="480"/>
        <w:jc w:val="left"/>
        <w:rPr>
          <w:rFonts w:hAnsi="宋体"/>
          <w:b w:val="0"/>
          <w:sz w:val="24"/>
          <w:szCs w:val="24"/>
        </w:rPr>
      </w:pPr>
      <w:r>
        <w:rPr>
          <w:rFonts w:hint="eastAsia" w:hAnsi="宋体"/>
          <w:b w:val="0"/>
          <w:sz w:val="24"/>
          <w:szCs w:val="24"/>
        </w:rPr>
        <w:t>本次招标为2023年度工程项目跟踪审计服务采购，投标人需具备提供高校工程项目审计服务的能力，包括但不限于概算审计、清单及控价评审、全过程跟踪审计、竣工结算审核和其他工程造价咨询能力，以及遴选人因特殊情况需要服务供应商给与配合的工程项目跟踪审计其他相关工作。</w:t>
      </w:r>
    </w:p>
    <w:p>
      <w:pPr>
        <w:pStyle w:val="3"/>
        <w:snapToGrid w:val="0"/>
        <w:spacing w:before="120" w:after="0" w:line="360" w:lineRule="auto"/>
        <w:jc w:val="left"/>
        <w:rPr>
          <w:rFonts w:hAnsi="宋体"/>
          <w:b w:val="0"/>
          <w:sz w:val="24"/>
          <w:szCs w:val="24"/>
        </w:rPr>
      </w:pPr>
      <w:r>
        <w:rPr>
          <w:rFonts w:hint="eastAsia" w:hAnsi="宋体"/>
          <w:b w:val="0"/>
          <w:sz w:val="24"/>
          <w:szCs w:val="24"/>
        </w:rPr>
        <w:t>二、项目要求：</w:t>
      </w:r>
    </w:p>
    <w:p>
      <w:pPr>
        <w:pStyle w:val="3"/>
        <w:snapToGrid w:val="0"/>
        <w:spacing w:before="0" w:after="0" w:line="360" w:lineRule="auto"/>
        <w:ind w:firstLine="240" w:firstLineChars="100"/>
        <w:jc w:val="left"/>
        <w:rPr>
          <w:rFonts w:hAnsi="宋体"/>
          <w:b w:val="0"/>
          <w:sz w:val="24"/>
          <w:szCs w:val="24"/>
        </w:rPr>
      </w:pPr>
      <w:r>
        <w:rPr>
          <w:rFonts w:hint="eastAsia" w:hAnsi="宋体"/>
          <w:b w:val="0"/>
          <w:sz w:val="24"/>
          <w:szCs w:val="24"/>
        </w:rPr>
        <w:t>（一）服务内容及要求：工程审计，包括2023-2024年度概算审计、清单及控价评审、全过程跟踪审计、竣工项目结算审计、工程造价咨询等。采购人按照审计任务和审计计划，根据中选供应商完成我校审计业务的服务质量评估、审计项目特点与中选供应商业务优势的匹配度、中选供应商完成其他类似审计业务的情况，委托中选供应商实施具体项目审计服务、签订项目审计合同。供应商应当按照国家相关法律法规和委托人的规定，独立、客观、公正、科学地开展工作，按时按质出具项目服务报告，对服务结果负责，并承担相应的法律责任。</w:t>
      </w:r>
    </w:p>
    <w:p>
      <w:pPr>
        <w:pStyle w:val="3"/>
        <w:snapToGrid w:val="0"/>
        <w:spacing w:before="0" w:after="0" w:line="360" w:lineRule="auto"/>
        <w:jc w:val="left"/>
        <w:rPr>
          <w:rFonts w:hAnsi="宋体"/>
          <w:b w:val="0"/>
          <w:sz w:val="24"/>
          <w:szCs w:val="24"/>
        </w:rPr>
      </w:pPr>
      <w:r>
        <w:rPr>
          <w:rFonts w:hint="eastAsia" w:hAnsi="宋体"/>
          <w:b w:val="0"/>
          <w:sz w:val="24"/>
          <w:szCs w:val="24"/>
        </w:rPr>
        <w:t xml:space="preserve">  （二）人员要求：供应商应为所投业务配置固定的工作团队，不得随意更换项目组人员，如需更换需经甲方同意。</w:t>
      </w:r>
    </w:p>
    <w:p>
      <w:pPr>
        <w:pStyle w:val="3"/>
        <w:snapToGrid w:val="0"/>
        <w:spacing w:before="0" w:after="0" w:line="360" w:lineRule="auto"/>
        <w:ind w:firstLine="240" w:firstLineChars="100"/>
        <w:jc w:val="left"/>
        <w:rPr>
          <w:rFonts w:hAnsi="宋体"/>
          <w:b w:val="0"/>
          <w:sz w:val="24"/>
          <w:szCs w:val="24"/>
        </w:rPr>
      </w:pPr>
      <w:r>
        <w:rPr>
          <w:rFonts w:hint="eastAsia" w:hAnsi="宋体"/>
          <w:b w:val="0"/>
          <w:sz w:val="24"/>
          <w:szCs w:val="24"/>
        </w:rPr>
        <w:t>（三）售后服务：中选供应商对每次提供的审计服务提供售后服务，包括但不限于向委托人提供相关数据、回答委托人询问等。</w:t>
      </w:r>
    </w:p>
    <w:p>
      <w:pPr>
        <w:spacing w:line="276" w:lineRule="auto"/>
      </w:pPr>
      <w:r>
        <w:rPr>
          <w:rFonts w:hint="eastAsia"/>
          <w:sz w:val="24"/>
          <w:szCs w:val="24"/>
        </w:rPr>
        <w:t>三、商务要求：</w:t>
      </w:r>
    </w:p>
    <w:p>
      <w:pPr>
        <w:pStyle w:val="3"/>
        <w:snapToGrid w:val="0"/>
        <w:spacing w:before="156" w:beforeLines="50" w:after="0" w:line="276" w:lineRule="auto"/>
        <w:jc w:val="left"/>
        <w:rPr>
          <w:rFonts w:hAnsi="宋体"/>
          <w:sz w:val="32"/>
          <w:szCs w:val="32"/>
        </w:rPr>
      </w:pPr>
      <w:r>
        <w:rPr>
          <w:rFonts w:hint="eastAsia" w:hAnsi="宋体"/>
          <w:b w:val="0"/>
          <w:sz w:val="24"/>
          <w:szCs w:val="24"/>
        </w:rPr>
        <w:t>（一）服务期限：2023-2024年度，服务期结束前根据《四川铁道职业学院内部审计业务外包管理办法》中的相关条款对服务供应商当年的服务质量作考评，考核情况为优秀的可以续签下一年度协议，若评估不合格将不予续签，并重新组织招标。</w:t>
      </w:r>
    </w:p>
    <w:p>
      <w:pPr>
        <w:pStyle w:val="3"/>
        <w:snapToGrid w:val="0"/>
        <w:spacing w:before="156" w:beforeLines="50" w:after="0" w:line="276" w:lineRule="auto"/>
        <w:jc w:val="left"/>
        <w:rPr>
          <w:rFonts w:hAnsi="宋体"/>
          <w:b w:val="0"/>
          <w:sz w:val="24"/>
          <w:szCs w:val="24"/>
        </w:rPr>
      </w:pPr>
      <w:r>
        <w:rPr>
          <w:rFonts w:hint="eastAsia" w:hAnsi="宋体"/>
          <w:b w:val="0"/>
          <w:sz w:val="24"/>
          <w:szCs w:val="24"/>
        </w:rPr>
        <w:t>（二）服务费用：本项目无预付款，每个服务项目验收合格通过、支付凭证齐全后</w:t>
      </w:r>
      <w:r>
        <w:rPr>
          <w:rFonts w:hAnsi="宋体"/>
          <w:b w:val="0"/>
          <w:sz w:val="24"/>
          <w:szCs w:val="24"/>
        </w:rPr>
        <w:t>10个工作日内以对公转账支付方式支付该项目合同规定的全部款项。</w:t>
      </w:r>
    </w:p>
    <w:p>
      <w:pPr>
        <w:pStyle w:val="3"/>
        <w:snapToGrid w:val="0"/>
        <w:spacing w:before="156" w:beforeLines="50" w:line="276" w:lineRule="auto"/>
        <w:jc w:val="left"/>
        <w:rPr>
          <w:rFonts w:hAnsi="宋体"/>
          <w:sz w:val="24"/>
          <w:szCs w:val="24"/>
        </w:rPr>
      </w:pPr>
      <w:r>
        <w:rPr>
          <w:rFonts w:hint="eastAsia" w:hAnsi="宋体"/>
          <w:b w:val="0"/>
          <w:sz w:val="24"/>
          <w:szCs w:val="24"/>
        </w:rPr>
        <w:t>（三）服务地点：四川铁道职业学院采购人指定地点。</w:t>
      </w:r>
    </w:p>
    <w:p>
      <w:pPr>
        <w:pStyle w:val="42"/>
      </w:pPr>
    </w:p>
    <w:p>
      <w:pPr>
        <w:rPr>
          <w:rFonts w:hAnsi="宋体"/>
          <w:sz w:val="32"/>
          <w:szCs w:val="32"/>
        </w:rPr>
      </w:pPr>
      <w:r>
        <w:rPr>
          <w:rFonts w:hint="eastAsia" w:hAnsi="宋体"/>
          <w:sz w:val="32"/>
          <w:szCs w:val="32"/>
        </w:rPr>
        <w:br w:type="page"/>
      </w:r>
    </w:p>
    <w:p>
      <w:pPr>
        <w:pStyle w:val="3"/>
        <w:snapToGrid w:val="0"/>
        <w:spacing w:before="0" w:after="0" w:line="240" w:lineRule="auto"/>
        <w:ind w:firstLine="2891" w:firstLineChars="900"/>
        <w:rPr>
          <w:rFonts w:hAnsi="宋体"/>
          <w:sz w:val="32"/>
          <w:szCs w:val="32"/>
        </w:rPr>
      </w:pPr>
      <w:r>
        <w:rPr>
          <w:rFonts w:hint="eastAsia" w:hAnsi="宋体"/>
          <w:sz w:val="32"/>
          <w:szCs w:val="32"/>
        </w:rPr>
        <w:t>第五章</w:t>
      </w:r>
      <w:r>
        <w:rPr>
          <w:rFonts w:hAnsi="宋体"/>
          <w:sz w:val="32"/>
          <w:szCs w:val="32"/>
        </w:rPr>
        <w:t xml:space="preserve">  </w:t>
      </w:r>
      <w:r>
        <w:rPr>
          <w:rFonts w:hint="eastAsia" w:hAnsi="宋体"/>
          <w:sz w:val="32"/>
          <w:szCs w:val="32"/>
        </w:rPr>
        <w:t>评标办法</w:t>
      </w: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本次评标采用综合评标法。评审委员会对合格的供应商的响应文件按以下详细评分标准进行量化评分。评审最后结果按综合得分由高到低定。推荐综合得分排序前2名的供应商为中选候选人，排名第一和第二的中选候选人放弃中选的，或者因不可抗力提出不能履行合同的，采购人可以确定排名第三的中选候选人为成交人，依此类推，也可重新采购。</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对各投标文件进行详细评审打分，满分为</w:t>
      </w:r>
      <w:r>
        <w:rPr>
          <w:rFonts w:hAnsi="宋体"/>
          <w:color w:val="000000"/>
          <w:sz w:val="24"/>
        </w:rPr>
        <w:t xml:space="preserve"> 100 </w:t>
      </w:r>
      <w:r>
        <w:rPr>
          <w:rFonts w:hint="eastAsia" w:hAnsi="宋体"/>
          <w:color w:val="000000"/>
          <w:sz w:val="24"/>
        </w:rPr>
        <w:t>分。招标主要考评因素包括投标报价（15</w:t>
      </w:r>
      <w:r>
        <w:rPr>
          <w:rFonts w:hAnsi="宋体"/>
          <w:color w:val="000000"/>
          <w:sz w:val="24"/>
        </w:rPr>
        <w:t>%</w:t>
      </w:r>
      <w:r>
        <w:rPr>
          <w:rFonts w:hint="eastAsia" w:hAnsi="宋体"/>
          <w:color w:val="000000"/>
          <w:sz w:val="24"/>
        </w:rPr>
        <w:t>）、项目人员配备（14</w:t>
      </w:r>
      <w:r>
        <w:rPr>
          <w:rFonts w:hAnsi="宋体"/>
          <w:color w:val="000000"/>
          <w:sz w:val="24"/>
        </w:rPr>
        <w:t>%</w:t>
      </w:r>
      <w:r>
        <w:rPr>
          <w:rFonts w:hint="eastAsia" w:hAnsi="宋体"/>
          <w:color w:val="000000"/>
          <w:sz w:val="24"/>
        </w:rPr>
        <w:t>）、</w:t>
      </w:r>
      <w:r>
        <w:rPr>
          <w:rFonts w:hint="eastAsia"/>
          <w:sz w:val="24"/>
          <w:szCs w:val="24"/>
        </w:rPr>
        <w:t>类似工作经验业绩</w:t>
      </w:r>
      <w:r>
        <w:rPr>
          <w:rFonts w:hint="eastAsia" w:hAnsi="宋体"/>
          <w:color w:val="000000"/>
          <w:sz w:val="24"/>
        </w:rPr>
        <w:t>（34</w:t>
      </w:r>
      <w:r>
        <w:rPr>
          <w:rFonts w:hAnsi="宋体"/>
          <w:color w:val="000000"/>
          <w:sz w:val="24"/>
        </w:rPr>
        <w:t>%</w:t>
      </w:r>
      <w:r>
        <w:rPr>
          <w:rFonts w:hint="eastAsia" w:hAnsi="宋体"/>
          <w:color w:val="000000"/>
          <w:sz w:val="24"/>
        </w:rPr>
        <w:t>）、企业实力（5</w:t>
      </w:r>
      <w:r>
        <w:rPr>
          <w:rFonts w:hAnsi="宋体"/>
          <w:color w:val="000000"/>
          <w:sz w:val="24"/>
        </w:rPr>
        <w:t>%</w:t>
      </w:r>
      <w:r>
        <w:rPr>
          <w:rFonts w:hint="eastAsia" w:hAnsi="宋体"/>
          <w:color w:val="000000"/>
          <w:sz w:val="24"/>
        </w:rPr>
        <w:t>）、服务方案（30</w:t>
      </w:r>
      <w:r>
        <w:rPr>
          <w:rFonts w:hAnsi="宋体"/>
          <w:color w:val="000000"/>
          <w:sz w:val="24"/>
        </w:rPr>
        <w:t>%</w:t>
      </w:r>
      <w:r>
        <w:rPr>
          <w:rFonts w:hint="eastAsia" w:hAnsi="宋体"/>
          <w:color w:val="000000"/>
          <w:sz w:val="24"/>
        </w:rPr>
        <w:t>）和响应文件规范性（2</w:t>
      </w:r>
      <w:r>
        <w:rPr>
          <w:rFonts w:hAnsi="宋体"/>
          <w:color w:val="000000"/>
          <w:sz w:val="24"/>
        </w:rPr>
        <w:t>%</w:t>
      </w:r>
      <w:r>
        <w:rPr>
          <w:rFonts w:hint="eastAsia" w:hAnsi="宋体"/>
          <w:color w:val="000000"/>
          <w:sz w:val="24"/>
        </w:rPr>
        <w:t>）四个方面，各投标人六方面的所有评价指标得分之和为该投标人的综合得分。</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详细评分标准如下表：</w:t>
      </w:r>
      <w:r>
        <w:rPr>
          <w:rFonts w:hAnsi="宋体"/>
          <w:color w:val="000000"/>
          <w:sz w:val="24"/>
        </w:rPr>
        <w:t xml:space="preserve"> </w:t>
      </w:r>
    </w:p>
    <w:tbl>
      <w:tblPr>
        <w:tblStyle w:val="33"/>
        <w:tblW w:w="9432" w:type="dxa"/>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1245"/>
        <w:gridCol w:w="1020"/>
        <w:gridCol w:w="6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评价因素</w:t>
            </w:r>
          </w:p>
        </w:tc>
        <w:tc>
          <w:tcPr>
            <w:tcW w:w="1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权重</w:t>
            </w:r>
          </w:p>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100分</w:t>
            </w:r>
          </w:p>
        </w:tc>
        <w:tc>
          <w:tcPr>
            <w:tcW w:w="64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1" w:firstLineChars="188"/>
              <w:jc w:val="center"/>
              <w:rPr>
                <w:rFonts w:hAnsi="宋体" w:cs="宋体"/>
                <w:bCs/>
                <w:spacing w:val="8"/>
                <w:sz w:val="24"/>
                <w:szCs w:val="24"/>
              </w:rPr>
            </w:pPr>
            <w:r>
              <w:rPr>
                <w:rFonts w:hint="eastAsia" w:hAnsi="宋体" w:cs="宋体"/>
                <w:bCs/>
                <w:spacing w:val="8"/>
                <w:sz w:val="24"/>
                <w:szCs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报价</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15分</w:t>
            </w:r>
          </w:p>
        </w:tc>
        <w:tc>
          <w:tcPr>
            <w:tcW w:w="646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满足招标文件要求且投标价格最低的结算审计报价为基准价，其价格分为满分；以基准价为准，有效申请的结算审计报价等于基准价的得满分，其他供应商的价格分统一按照下列公式计算：报价得分=(基准价／报价)×权重</w:t>
            </w:r>
          </w:p>
          <w:p>
            <w:pPr>
              <w:pStyle w:val="11"/>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注：审减效益费不作为报价得分评审。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项目人员配备</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14分</w:t>
            </w:r>
          </w:p>
        </w:tc>
        <w:tc>
          <w:tcPr>
            <w:tcW w:w="646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1、企业具有全国注册造价工程师（或一级注册造价工程师）的人数10人及以上得4分，6人（不含）以上10人（不含）以下得2分，6人及以下不得分；</w:t>
            </w:r>
          </w:p>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2、供应商针对本项目拟派人员：</w:t>
            </w:r>
          </w:p>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（1）项目负责人（1人）具有全国注册造价工程师（或一级注册造价工程师）资格得1分，同时具备工程相关中级工程师及上职称的加1分，本项最多得2分；</w:t>
            </w:r>
          </w:p>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（2）项目技术负责人（1人） 具有全国注册造价工程师（或一级注册造价工程师）资格得1分，同时具备工程相关中级工程师及上职称的加1分，本项最多得2分；</w:t>
            </w:r>
          </w:p>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（3）土建负责人（1人）具有全国注册造价工程师（或一级注册造价工程师）（土建专业）资格得1分；</w:t>
            </w:r>
          </w:p>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（4）安装负责人（1人）具有全国注册造价工程师（或一级注册造价工程师）（安装专业）资格得1分；</w:t>
            </w:r>
          </w:p>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（5）其他人员：每配备全国注册造价工程师（或一级注册造价工程师）得1分，本项目最多得4分。</w:t>
            </w:r>
          </w:p>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注：1、全国注册造价工程师（或一级注册造价工程师）注册证书复印件或扫描件；全国注册造价工程师（或一级注册造价工程师）以“全国建筑市场监管公共服务平台”查询的网页截图为准（加盖供应商公章）。</w:t>
            </w:r>
          </w:p>
          <w:p>
            <w:pPr>
              <w:spacing w:line="400" w:lineRule="exact"/>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2、供应商针对本项目拟派人员中同一人员不重复得分。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 xml:space="preserve">                                                           3</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业绩</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34分</w:t>
            </w:r>
          </w:p>
        </w:tc>
        <w:tc>
          <w:tcPr>
            <w:tcW w:w="64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1、近三年（2020年1月1日-2022年12月31日）已完成或正在进行清单及控制价评审的工程项目数量进行评分：1个得2分，每增加1个得2分，最多得8分。</w:t>
            </w:r>
          </w:p>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2、近三年（2020年1月1日-2022年12月31日）已完成或正在全过程造价控制的工程项目数量进行评分：1个得2分，每增加1个得2分，最多得12分。</w:t>
            </w:r>
          </w:p>
          <w:p>
            <w:pPr>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3、近三年（2020年1月1日-2022年12月31日）已完成竣工结算审核的工程项目数量进行评分：1个得2分，每增加1个得2分，最多得14分。</w:t>
            </w:r>
          </w:p>
          <w:p>
            <w:pPr>
              <w:spacing w:line="400" w:lineRule="exac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注：提供造价咨询合同或中标&lt;选&gt;通知书或造价咨询服务委托书等证明文件的复印件并加盖公章。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4</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企业实力</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5分</w:t>
            </w:r>
          </w:p>
        </w:tc>
        <w:tc>
          <w:tcPr>
            <w:tcW w:w="6465" w:type="dxa"/>
            <w:tcBorders>
              <w:top w:val="single" w:color="auto" w:sz="4" w:space="0"/>
              <w:left w:val="single" w:color="auto" w:sz="4" w:space="0"/>
              <w:bottom w:val="single" w:color="auto" w:sz="4" w:space="0"/>
              <w:right w:val="single" w:color="auto" w:sz="4" w:space="0"/>
            </w:tcBorders>
            <w:vAlign w:val="center"/>
          </w:tcPr>
          <w:p>
            <w:pPr>
              <w:pStyle w:val="11"/>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供应商2018年1月1日以来在相关协会评定企业能力和信用综合评价中：评为AAA得5分；AA得3分；A得1分。                                                 </w:t>
            </w:r>
          </w:p>
          <w:p>
            <w:pPr>
              <w:pStyle w:val="11"/>
              <w:spacing w:line="400" w:lineRule="exac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注：附相关证明复印件加盖供应商公章。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 xml:space="preserve">                                                                                                                                                                                                                                                                                                                                                                                                                                                                                                                                                                                                                                                                                                                                                                                                                                                                                                                                                                                                                                                                                                                                                                                                                                                                                                                                                                                                                                                                                                                                                                                                                                                                                                                                                                                                                                                                                                                                                                                                                                                                                                                                                                                                 5</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服务方案</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30分</w:t>
            </w:r>
          </w:p>
        </w:tc>
        <w:tc>
          <w:tcPr>
            <w:tcW w:w="64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
                <w:bCs/>
                <w:color w:val="000000" w:themeColor="text1"/>
                <w:sz w:val="24"/>
                <w:szCs w:val="24"/>
                <w14:textFill>
                  <w14:solidFill>
                    <w14:schemeClr w14:val="tx1"/>
                  </w14:solidFill>
                </w14:textFill>
              </w:rPr>
              <w:t>1.实施方案：</w:t>
            </w:r>
            <w:r>
              <w:rPr>
                <w:rFonts w:hint="eastAsia" w:cs="Arial" w:asciiTheme="minorEastAsia" w:hAnsiTheme="minorEastAsia" w:eastAsiaTheme="minorEastAsia"/>
                <w:bCs/>
                <w:color w:val="000000" w:themeColor="text1"/>
                <w:sz w:val="24"/>
                <w:szCs w:val="24"/>
                <w14:textFill>
                  <w14:solidFill>
                    <w14:schemeClr w14:val="tx1"/>
                  </w14:solidFill>
                </w14:textFill>
              </w:rPr>
              <w:t>根据供应商提供的项目服务方案（包括项目总体思路，工作重点和难点分析，项目实施步骤，项目进度计划与安排，项目风险分析和解决措施，项目验收方案）进行评审，方案每项内容完整、规范性、可行得12分，有任意一项内容缺失或不满足上述要求或与本项目无关的扣2分，扣完为止。</w:t>
            </w:r>
          </w:p>
          <w:p>
            <w:pPr>
              <w:spacing w:line="400" w:lineRule="exac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
                <w:bCs/>
                <w:color w:val="000000" w:themeColor="text1"/>
                <w:sz w:val="24"/>
                <w:szCs w:val="24"/>
                <w14:textFill>
                  <w14:solidFill>
                    <w14:schemeClr w14:val="tx1"/>
                  </w14:solidFill>
                </w14:textFill>
              </w:rPr>
              <w:t>2.质量及控制措施：</w:t>
            </w:r>
            <w:r>
              <w:rPr>
                <w:rFonts w:hint="eastAsia" w:cs="Arial" w:asciiTheme="minorEastAsia" w:hAnsiTheme="minorEastAsia" w:eastAsiaTheme="minorEastAsia"/>
                <w:bCs/>
                <w:color w:val="000000" w:themeColor="text1"/>
                <w:sz w:val="24"/>
                <w:szCs w:val="24"/>
                <w14:textFill>
                  <w14:solidFill>
                    <w14:schemeClr w14:val="tx1"/>
                  </w14:solidFill>
                </w14:textFill>
              </w:rPr>
              <w:t>供应商针对本项目有明确质量控制目标、切实可行的质量控制措施（方法）、完善的质量控制环节和内容、针对性强的质量控制责任制的得8 分，有任意一项内容缺失或不满足上述要求或与本项目无关或内容粗略的扣2分，扣完为止。</w:t>
            </w:r>
          </w:p>
          <w:p>
            <w:pPr>
              <w:spacing w:line="400" w:lineRule="exac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
                <w:bCs/>
                <w:color w:val="000000" w:themeColor="text1"/>
                <w:sz w:val="24"/>
                <w:szCs w:val="24"/>
                <w14:textFill>
                  <w14:solidFill>
                    <w14:schemeClr w14:val="tx1"/>
                  </w14:solidFill>
                </w14:textFill>
              </w:rPr>
              <w:t>3.项目组织：</w:t>
            </w:r>
            <w:r>
              <w:rPr>
                <w:rFonts w:hint="eastAsia" w:cs="Arial" w:asciiTheme="minorEastAsia" w:hAnsiTheme="minorEastAsia" w:eastAsiaTheme="minorEastAsia"/>
                <w:bCs/>
                <w:color w:val="000000" w:themeColor="text1"/>
                <w:sz w:val="24"/>
                <w:szCs w:val="24"/>
                <w14:textFill>
                  <w14:solidFill>
                    <w14:schemeClr w14:val="tx1"/>
                  </w14:solidFill>
                </w14:textFill>
              </w:rPr>
              <w:t>项目组织结构设置合理、人员分工明确、职责完善的得6分，有任意一项内容缺失或不满足上述要求或与本项目无关或内容粗略的扣2分，扣完为止。</w:t>
            </w:r>
          </w:p>
          <w:p>
            <w:pPr>
              <w:spacing w:line="400" w:lineRule="exac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
                <w:bCs/>
                <w:color w:val="000000" w:themeColor="text1"/>
                <w:sz w:val="24"/>
                <w:szCs w:val="24"/>
                <w14:textFill>
                  <w14:solidFill>
                    <w14:schemeClr w14:val="tx1"/>
                  </w14:solidFill>
                </w14:textFill>
              </w:rPr>
              <w:t>4.服务承诺：</w:t>
            </w:r>
            <w:r>
              <w:rPr>
                <w:rFonts w:hint="eastAsia" w:cs="Arial" w:asciiTheme="minorEastAsia" w:hAnsiTheme="minorEastAsia" w:eastAsiaTheme="minorEastAsia"/>
                <w:bCs/>
                <w:color w:val="000000" w:themeColor="text1"/>
                <w:sz w:val="24"/>
                <w:szCs w:val="24"/>
                <w14:textFill>
                  <w14:solidFill>
                    <w14:schemeClr w14:val="tx1"/>
                  </w14:solidFill>
                </w14:textFill>
              </w:rPr>
              <w:t>供应商对项目响应及时、提供增值服务、附加服务，对项目成果保密等进行承诺并提供服务方案的得4分，有任意一项内容缺失或不满足上述要求或与本项目无关或内容粗略的扣1分，扣完为止。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7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6</w:t>
            </w:r>
          </w:p>
        </w:tc>
        <w:tc>
          <w:tcPr>
            <w:tcW w:w="12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响应文件规范性</w:t>
            </w:r>
          </w:p>
        </w:tc>
        <w:tc>
          <w:tcPr>
            <w:tcW w:w="10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2分</w:t>
            </w:r>
          </w:p>
        </w:tc>
        <w:tc>
          <w:tcPr>
            <w:tcW w:w="646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Arial" w:asciiTheme="minorEastAsia" w:hAnsiTheme="minorEastAsia" w:eastAsiaTheme="minorEastAsia"/>
                <w:bCs/>
                <w:color w:val="000000" w:themeColor="text1"/>
                <w:sz w:val="24"/>
                <w:szCs w:val="24"/>
                <w14:textFill>
                  <w14:solidFill>
                    <w14:schemeClr w14:val="tx1"/>
                  </w14:solidFill>
                </w14:textFill>
              </w:rPr>
            </w:pPr>
            <w:r>
              <w:rPr>
                <w:rFonts w:hint="eastAsia" w:cs="Arial" w:asciiTheme="minorEastAsia" w:hAnsiTheme="minorEastAsia" w:eastAsiaTheme="minorEastAsia"/>
                <w:bCs/>
                <w:color w:val="000000" w:themeColor="text1"/>
                <w:sz w:val="24"/>
                <w:szCs w:val="24"/>
                <w14:textFill>
                  <w14:solidFill>
                    <w14:schemeClr w14:val="tx1"/>
                  </w14:solidFill>
                </w14:textFill>
              </w:rPr>
              <w:t>响应文件制作规范，没有细微偏差情形的得2分；有一项细微偏差扣0.5分，直至该项分值扣完。</w:t>
            </w:r>
          </w:p>
        </w:tc>
      </w:tr>
      <w:bookmarkEnd w:id="41"/>
      <w:bookmarkEnd w:id="42"/>
    </w:tbl>
    <w:p/>
    <w:p>
      <w:pPr>
        <w:pStyle w:val="42"/>
      </w:pPr>
      <w:r>
        <w:br w:type="page"/>
      </w:r>
    </w:p>
    <w:p>
      <w:pPr>
        <w:pStyle w:val="3"/>
        <w:snapToGrid w:val="0"/>
        <w:spacing w:before="0" w:after="0" w:line="360" w:lineRule="auto"/>
        <w:ind w:firstLine="2711" w:firstLineChars="900"/>
        <w:rPr>
          <w:rFonts w:hint="eastAsia" w:hAnsi="宋体" w:cs="宋体"/>
          <w:sz w:val="30"/>
          <w:szCs w:val="30"/>
        </w:rPr>
      </w:pPr>
    </w:p>
    <w:p>
      <w:pPr>
        <w:pStyle w:val="3"/>
        <w:snapToGrid w:val="0"/>
        <w:spacing w:before="0" w:after="0" w:line="360" w:lineRule="auto"/>
        <w:ind w:firstLine="2711" w:firstLineChars="900"/>
        <w:rPr>
          <w:rFonts w:hint="eastAsia" w:hAnsi="宋体" w:cs="宋体" w:eastAsiaTheme="minorEastAsia"/>
          <w:sz w:val="30"/>
          <w:szCs w:val="30"/>
          <w:lang w:eastAsia="zh-CN"/>
        </w:rPr>
      </w:pPr>
      <w:r>
        <w:rPr>
          <w:rFonts w:hint="eastAsia" w:hAnsi="宋体" w:cs="宋体"/>
          <w:sz w:val="30"/>
          <w:szCs w:val="30"/>
        </w:rPr>
        <w:t xml:space="preserve">第六章 </w:t>
      </w:r>
      <w:r>
        <w:rPr>
          <w:rFonts w:hint="eastAsia" w:asciiTheme="minorEastAsia" w:hAnsiTheme="minorEastAsia" w:eastAsiaTheme="minorEastAsia"/>
          <w:color w:val="000000" w:themeColor="text1"/>
          <w:sz w:val="28"/>
          <w:szCs w:val="28"/>
          <w14:textFill>
            <w14:solidFill>
              <w14:schemeClr w14:val="tx1"/>
            </w14:solidFill>
          </w14:textFill>
        </w:rPr>
        <w:t>合同</w:t>
      </w:r>
      <w:r>
        <w:rPr>
          <w:rFonts w:hint="eastAsia" w:asciiTheme="minorEastAsia" w:hAnsiTheme="minorEastAsia" w:eastAsiaTheme="minorEastAsia"/>
          <w:color w:val="000000" w:themeColor="text1"/>
          <w:sz w:val="28"/>
          <w:szCs w:val="28"/>
          <w:lang w:eastAsia="zh-CN"/>
          <w14:textFill>
            <w14:solidFill>
              <w14:schemeClr w14:val="tx1"/>
            </w14:solidFill>
          </w14:textFill>
        </w:rPr>
        <w:t>主要条款</w:t>
      </w:r>
    </w:p>
    <w:p>
      <w:pPr>
        <w:jc w:val="center"/>
      </w:pPr>
      <w:r>
        <w:rPr>
          <w:rFonts w:hint="eastAsia" w:ascii="Times New Roman" w:hAnsi="宋体" w:cs="宋体"/>
          <w:b/>
          <w:bCs/>
          <w:sz w:val="24"/>
          <w:szCs w:val="24"/>
        </w:rPr>
        <w:t>（仅供参考</w:t>
      </w:r>
      <w:r>
        <w:rPr>
          <w:rFonts w:hint="eastAsia" w:ascii="Times New Roman" w:hAnsi="宋体" w:cs="宋体"/>
          <w:sz w:val="24"/>
          <w:szCs w:val="24"/>
        </w:rPr>
        <w:t>）</w:t>
      </w:r>
    </w:p>
    <w:p>
      <w:pPr>
        <w:snapToGrid w:val="0"/>
        <w:spacing w:line="360" w:lineRule="auto"/>
        <w:rPr>
          <w:rFonts w:hAnsi="宋体" w:cs="宋体"/>
          <w:sz w:val="24"/>
          <w:szCs w:val="24"/>
        </w:rPr>
      </w:pPr>
    </w:p>
    <w:sectPr>
      <w:headerReference r:id="rId7" w:type="default"/>
      <w:footerReference r:id="rId8" w:type="default"/>
      <w:pgSz w:w="11906" w:h="16838"/>
      <w:pgMar w:top="1083" w:right="1440" w:bottom="1083" w:left="1440" w:header="851" w:footer="992" w:gutter="0"/>
      <w:pgNumType w:fmt="decimal"/>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06763429"/>
                          </w:sdtPr>
                          <w:sdtContent>
                            <w:p>
                              <w:pPr>
                                <w:pStyle w:val="20"/>
                                <w:jc w:val="center"/>
                              </w:pPr>
                              <w:r>
                                <w:fldChar w:fldCharType="begin"/>
                              </w:r>
                              <w:r>
                                <w:instrText xml:space="preserve">PAGE   \* MERGEFORMAT</w:instrText>
                              </w:r>
                              <w:r>
                                <w:fldChar w:fldCharType="separate"/>
                              </w:r>
                              <w:r>
                                <w:rPr>
                                  <w:lang w:val="zh-CN"/>
                                </w:rPr>
                                <w:t>24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406763429"/>
                    </w:sdtPr>
                    <w:sdtContent>
                      <w:p>
                        <w:pPr>
                          <w:pStyle w:val="20"/>
                          <w:jc w:val="center"/>
                        </w:pPr>
                        <w:r>
                          <w:fldChar w:fldCharType="begin"/>
                        </w:r>
                        <w:r>
                          <w:instrText xml:space="preserve">PAGE   \* MERGEFORMAT</w:instrText>
                        </w:r>
                        <w:r>
                          <w:fldChar w:fldCharType="separate"/>
                        </w:r>
                        <w:r>
                          <w:rPr>
                            <w:lang w:val="zh-CN"/>
                          </w:rPr>
                          <w:t>24</w:t>
                        </w:r>
                        <w:r>
                          <w:fldChar w:fldCharType="end"/>
                        </w:r>
                      </w:p>
                    </w:sdtContent>
                  </w:sdt>
                  <w:p>
                    <w:pPr>
                      <w:pStyle w:val="2"/>
                    </w:pP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153"/>
        <w:tab w:val="right" w:pos="8306"/>
        <w:tab w:val="clear" w:pos="4140"/>
        <w:tab w:val="clear" w:pos="8300"/>
      </w:tabs>
      <w:rPr>
        <w:rFonts w:hAnsi="宋体"/>
      </w:rPr>
    </w:pPr>
    <w:r>
      <w:rPr>
        <w:rFonts w:hint="eastAsia" w:hAnsi="宋体"/>
      </w:rPr>
      <w:t>2023年度工程项目跟踪审计服务项目－招标文件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2">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6B6F0073"/>
    <w:multiLevelType w:val="singleLevel"/>
    <w:tmpl w:val="6B6F0073"/>
    <w:lvl w:ilvl="0" w:tentative="0">
      <w:start w:val="4"/>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172A27"/>
    <w:rsid w:val="0000130C"/>
    <w:rsid w:val="0000582D"/>
    <w:rsid w:val="0001189E"/>
    <w:rsid w:val="00013197"/>
    <w:rsid w:val="00013F1F"/>
    <w:rsid w:val="0001534B"/>
    <w:rsid w:val="00020591"/>
    <w:rsid w:val="00022579"/>
    <w:rsid w:val="00022687"/>
    <w:rsid w:val="000227F3"/>
    <w:rsid w:val="00024272"/>
    <w:rsid w:val="000300FA"/>
    <w:rsid w:val="00034E6A"/>
    <w:rsid w:val="00035296"/>
    <w:rsid w:val="000371E0"/>
    <w:rsid w:val="00037883"/>
    <w:rsid w:val="000414D3"/>
    <w:rsid w:val="0004553E"/>
    <w:rsid w:val="00057875"/>
    <w:rsid w:val="00062B97"/>
    <w:rsid w:val="00074602"/>
    <w:rsid w:val="00083A44"/>
    <w:rsid w:val="000921E3"/>
    <w:rsid w:val="000955D2"/>
    <w:rsid w:val="000A1BAE"/>
    <w:rsid w:val="000B2D46"/>
    <w:rsid w:val="000C3891"/>
    <w:rsid w:val="000D0F46"/>
    <w:rsid w:val="000D3C29"/>
    <w:rsid w:val="000E3A51"/>
    <w:rsid w:val="000F0B31"/>
    <w:rsid w:val="00104D52"/>
    <w:rsid w:val="001136DE"/>
    <w:rsid w:val="00113D9F"/>
    <w:rsid w:val="00115F7B"/>
    <w:rsid w:val="0011612A"/>
    <w:rsid w:val="001269FA"/>
    <w:rsid w:val="00133214"/>
    <w:rsid w:val="00142405"/>
    <w:rsid w:val="001433DB"/>
    <w:rsid w:val="0014556F"/>
    <w:rsid w:val="0015106A"/>
    <w:rsid w:val="00155A91"/>
    <w:rsid w:val="00157635"/>
    <w:rsid w:val="00172A27"/>
    <w:rsid w:val="00173F5B"/>
    <w:rsid w:val="00181E14"/>
    <w:rsid w:val="00185388"/>
    <w:rsid w:val="00185C7D"/>
    <w:rsid w:val="001943F1"/>
    <w:rsid w:val="001A1EDF"/>
    <w:rsid w:val="001A3304"/>
    <w:rsid w:val="001A7D26"/>
    <w:rsid w:val="001C4C5D"/>
    <w:rsid w:val="001C71AD"/>
    <w:rsid w:val="001E077D"/>
    <w:rsid w:val="001E1440"/>
    <w:rsid w:val="001F31EF"/>
    <w:rsid w:val="0021094F"/>
    <w:rsid w:val="002114B9"/>
    <w:rsid w:val="0021517F"/>
    <w:rsid w:val="00215D24"/>
    <w:rsid w:val="0022303E"/>
    <w:rsid w:val="00231CEA"/>
    <w:rsid w:val="00236B8E"/>
    <w:rsid w:val="00240072"/>
    <w:rsid w:val="00242F03"/>
    <w:rsid w:val="00252539"/>
    <w:rsid w:val="002619F7"/>
    <w:rsid w:val="002740EE"/>
    <w:rsid w:val="00274439"/>
    <w:rsid w:val="002802D2"/>
    <w:rsid w:val="002932A5"/>
    <w:rsid w:val="002945D4"/>
    <w:rsid w:val="00297578"/>
    <w:rsid w:val="002A6490"/>
    <w:rsid w:val="002C6669"/>
    <w:rsid w:val="002C71E0"/>
    <w:rsid w:val="002E6FA2"/>
    <w:rsid w:val="002F3A9D"/>
    <w:rsid w:val="00302533"/>
    <w:rsid w:val="00303BEC"/>
    <w:rsid w:val="00312B15"/>
    <w:rsid w:val="0031337F"/>
    <w:rsid w:val="00314D2B"/>
    <w:rsid w:val="00315B25"/>
    <w:rsid w:val="00315BFD"/>
    <w:rsid w:val="00330AB4"/>
    <w:rsid w:val="003426C9"/>
    <w:rsid w:val="0034384C"/>
    <w:rsid w:val="00351B66"/>
    <w:rsid w:val="003611A5"/>
    <w:rsid w:val="0036563C"/>
    <w:rsid w:val="00374997"/>
    <w:rsid w:val="00376338"/>
    <w:rsid w:val="0038282C"/>
    <w:rsid w:val="0039190F"/>
    <w:rsid w:val="00392C9A"/>
    <w:rsid w:val="003A120C"/>
    <w:rsid w:val="003C2094"/>
    <w:rsid w:val="003C49AF"/>
    <w:rsid w:val="003C792C"/>
    <w:rsid w:val="003D00DA"/>
    <w:rsid w:val="003D11A5"/>
    <w:rsid w:val="003D1C1F"/>
    <w:rsid w:val="003D4974"/>
    <w:rsid w:val="003D6934"/>
    <w:rsid w:val="003E1BF9"/>
    <w:rsid w:val="003F204D"/>
    <w:rsid w:val="0040317E"/>
    <w:rsid w:val="00403B59"/>
    <w:rsid w:val="0041087A"/>
    <w:rsid w:val="00412E90"/>
    <w:rsid w:val="00420197"/>
    <w:rsid w:val="00423D03"/>
    <w:rsid w:val="004250DD"/>
    <w:rsid w:val="00433825"/>
    <w:rsid w:val="004368FD"/>
    <w:rsid w:val="0044696E"/>
    <w:rsid w:val="00450DBA"/>
    <w:rsid w:val="00451066"/>
    <w:rsid w:val="004552FA"/>
    <w:rsid w:val="0046280F"/>
    <w:rsid w:val="00477BEA"/>
    <w:rsid w:val="00477FD5"/>
    <w:rsid w:val="004840A2"/>
    <w:rsid w:val="00484F83"/>
    <w:rsid w:val="004856D2"/>
    <w:rsid w:val="00486DE0"/>
    <w:rsid w:val="004876FC"/>
    <w:rsid w:val="00497759"/>
    <w:rsid w:val="004A0487"/>
    <w:rsid w:val="004A550E"/>
    <w:rsid w:val="004A58BA"/>
    <w:rsid w:val="004B0DBB"/>
    <w:rsid w:val="004B6322"/>
    <w:rsid w:val="004D0C88"/>
    <w:rsid w:val="004E54D8"/>
    <w:rsid w:val="004E6A39"/>
    <w:rsid w:val="004F0192"/>
    <w:rsid w:val="004F3B9B"/>
    <w:rsid w:val="004F5512"/>
    <w:rsid w:val="004F718A"/>
    <w:rsid w:val="00510855"/>
    <w:rsid w:val="00511DBC"/>
    <w:rsid w:val="0051463D"/>
    <w:rsid w:val="00523D5E"/>
    <w:rsid w:val="00526EF1"/>
    <w:rsid w:val="00544981"/>
    <w:rsid w:val="00551968"/>
    <w:rsid w:val="005523F9"/>
    <w:rsid w:val="00556267"/>
    <w:rsid w:val="00565D29"/>
    <w:rsid w:val="0057392A"/>
    <w:rsid w:val="0057670A"/>
    <w:rsid w:val="0058164F"/>
    <w:rsid w:val="00581EB4"/>
    <w:rsid w:val="00583359"/>
    <w:rsid w:val="005855B2"/>
    <w:rsid w:val="00587168"/>
    <w:rsid w:val="00593373"/>
    <w:rsid w:val="005A011C"/>
    <w:rsid w:val="005A1491"/>
    <w:rsid w:val="005B5D46"/>
    <w:rsid w:val="005C0690"/>
    <w:rsid w:val="005C648F"/>
    <w:rsid w:val="005D298A"/>
    <w:rsid w:val="005D660E"/>
    <w:rsid w:val="005D76BC"/>
    <w:rsid w:val="005F3651"/>
    <w:rsid w:val="005F6D20"/>
    <w:rsid w:val="006076D0"/>
    <w:rsid w:val="0062668F"/>
    <w:rsid w:val="00641B44"/>
    <w:rsid w:val="0064548D"/>
    <w:rsid w:val="0066730D"/>
    <w:rsid w:val="0068224E"/>
    <w:rsid w:val="00682AB4"/>
    <w:rsid w:val="00691FBB"/>
    <w:rsid w:val="00695CEC"/>
    <w:rsid w:val="00697803"/>
    <w:rsid w:val="006A04FB"/>
    <w:rsid w:val="006B3B23"/>
    <w:rsid w:val="006B634A"/>
    <w:rsid w:val="006B64B2"/>
    <w:rsid w:val="006C59D1"/>
    <w:rsid w:val="006C6A81"/>
    <w:rsid w:val="006C7451"/>
    <w:rsid w:val="006E3DDB"/>
    <w:rsid w:val="006F06EF"/>
    <w:rsid w:val="006F4716"/>
    <w:rsid w:val="00722B66"/>
    <w:rsid w:val="00725225"/>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00021"/>
    <w:rsid w:val="00815789"/>
    <w:rsid w:val="00815D09"/>
    <w:rsid w:val="00815FBB"/>
    <w:rsid w:val="00823CD6"/>
    <w:rsid w:val="008351A2"/>
    <w:rsid w:val="00842EE1"/>
    <w:rsid w:val="008465E2"/>
    <w:rsid w:val="00850AE8"/>
    <w:rsid w:val="0085182D"/>
    <w:rsid w:val="00852219"/>
    <w:rsid w:val="00854B0E"/>
    <w:rsid w:val="00861B35"/>
    <w:rsid w:val="00861D35"/>
    <w:rsid w:val="008705D4"/>
    <w:rsid w:val="008721DC"/>
    <w:rsid w:val="008826E8"/>
    <w:rsid w:val="008847D9"/>
    <w:rsid w:val="008A1A79"/>
    <w:rsid w:val="008A3275"/>
    <w:rsid w:val="008A372A"/>
    <w:rsid w:val="008A775B"/>
    <w:rsid w:val="008B3F4F"/>
    <w:rsid w:val="008B6A28"/>
    <w:rsid w:val="008C4C5D"/>
    <w:rsid w:val="008D4B57"/>
    <w:rsid w:val="008E12A7"/>
    <w:rsid w:val="008E283A"/>
    <w:rsid w:val="008F1768"/>
    <w:rsid w:val="008F483A"/>
    <w:rsid w:val="008F5D03"/>
    <w:rsid w:val="00900A6F"/>
    <w:rsid w:val="00907738"/>
    <w:rsid w:val="009121F3"/>
    <w:rsid w:val="009123FA"/>
    <w:rsid w:val="00912989"/>
    <w:rsid w:val="00916D1E"/>
    <w:rsid w:val="00927129"/>
    <w:rsid w:val="00930651"/>
    <w:rsid w:val="0093288F"/>
    <w:rsid w:val="00935B90"/>
    <w:rsid w:val="00953907"/>
    <w:rsid w:val="009541A1"/>
    <w:rsid w:val="00956AE4"/>
    <w:rsid w:val="009578BC"/>
    <w:rsid w:val="00964782"/>
    <w:rsid w:val="00965DE7"/>
    <w:rsid w:val="00982AE7"/>
    <w:rsid w:val="00983489"/>
    <w:rsid w:val="0099747D"/>
    <w:rsid w:val="009976EE"/>
    <w:rsid w:val="009A21CB"/>
    <w:rsid w:val="009B590F"/>
    <w:rsid w:val="009B7EC9"/>
    <w:rsid w:val="009C6148"/>
    <w:rsid w:val="009D1F47"/>
    <w:rsid w:val="009D23DB"/>
    <w:rsid w:val="009D4EE9"/>
    <w:rsid w:val="009F40A2"/>
    <w:rsid w:val="009F639B"/>
    <w:rsid w:val="00A00E68"/>
    <w:rsid w:val="00A00EBE"/>
    <w:rsid w:val="00A0208D"/>
    <w:rsid w:val="00A03414"/>
    <w:rsid w:val="00A05595"/>
    <w:rsid w:val="00A075C3"/>
    <w:rsid w:val="00A11CF0"/>
    <w:rsid w:val="00A13D90"/>
    <w:rsid w:val="00A2152A"/>
    <w:rsid w:val="00A23C2C"/>
    <w:rsid w:val="00A26126"/>
    <w:rsid w:val="00A27709"/>
    <w:rsid w:val="00A321E3"/>
    <w:rsid w:val="00A35D88"/>
    <w:rsid w:val="00A36AED"/>
    <w:rsid w:val="00A415A9"/>
    <w:rsid w:val="00A46EEF"/>
    <w:rsid w:val="00A51B5A"/>
    <w:rsid w:val="00A57A27"/>
    <w:rsid w:val="00A62532"/>
    <w:rsid w:val="00A7009A"/>
    <w:rsid w:val="00A72699"/>
    <w:rsid w:val="00A755CF"/>
    <w:rsid w:val="00A92172"/>
    <w:rsid w:val="00A96563"/>
    <w:rsid w:val="00A9666E"/>
    <w:rsid w:val="00AA1D32"/>
    <w:rsid w:val="00AA337F"/>
    <w:rsid w:val="00AA4F6C"/>
    <w:rsid w:val="00AD3D02"/>
    <w:rsid w:val="00AE0E42"/>
    <w:rsid w:val="00AE5591"/>
    <w:rsid w:val="00B10AC3"/>
    <w:rsid w:val="00B35C4C"/>
    <w:rsid w:val="00B634A6"/>
    <w:rsid w:val="00B6708B"/>
    <w:rsid w:val="00B92137"/>
    <w:rsid w:val="00B9351F"/>
    <w:rsid w:val="00BA04EB"/>
    <w:rsid w:val="00BA1CB2"/>
    <w:rsid w:val="00BA1E3F"/>
    <w:rsid w:val="00BA6441"/>
    <w:rsid w:val="00BA7A4D"/>
    <w:rsid w:val="00BC6571"/>
    <w:rsid w:val="00BD2B90"/>
    <w:rsid w:val="00BE0CDD"/>
    <w:rsid w:val="00BE0CE2"/>
    <w:rsid w:val="00BE3EDE"/>
    <w:rsid w:val="00BE5923"/>
    <w:rsid w:val="00BF1C72"/>
    <w:rsid w:val="00BF5C97"/>
    <w:rsid w:val="00BF6F90"/>
    <w:rsid w:val="00C02D9C"/>
    <w:rsid w:val="00C10464"/>
    <w:rsid w:val="00C10AFE"/>
    <w:rsid w:val="00C11284"/>
    <w:rsid w:val="00C132F6"/>
    <w:rsid w:val="00C15F61"/>
    <w:rsid w:val="00C16CAE"/>
    <w:rsid w:val="00C23A44"/>
    <w:rsid w:val="00C3181D"/>
    <w:rsid w:val="00C354A1"/>
    <w:rsid w:val="00C50C93"/>
    <w:rsid w:val="00C52250"/>
    <w:rsid w:val="00C54697"/>
    <w:rsid w:val="00C570CF"/>
    <w:rsid w:val="00C70180"/>
    <w:rsid w:val="00C821FD"/>
    <w:rsid w:val="00C82454"/>
    <w:rsid w:val="00C82BBB"/>
    <w:rsid w:val="00C8523A"/>
    <w:rsid w:val="00C8568F"/>
    <w:rsid w:val="00C93064"/>
    <w:rsid w:val="00CA64F2"/>
    <w:rsid w:val="00CB1E2C"/>
    <w:rsid w:val="00CB1F34"/>
    <w:rsid w:val="00CB5A92"/>
    <w:rsid w:val="00CB78BD"/>
    <w:rsid w:val="00CB7B63"/>
    <w:rsid w:val="00CC5987"/>
    <w:rsid w:val="00CC6ED4"/>
    <w:rsid w:val="00CD004D"/>
    <w:rsid w:val="00CD01F4"/>
    <w:rsid w:val="00CD29C9"/>
    <w:rsid w:val="00CD4587"/>
    <w:rsid w:val="00CD7D3A"/>
    <w:rsid w:val="00CE5482"/>
    <w:rsid w:val="00CE7541"/>
    <w:rsid w:val="00D113A8"/>
    <w:rsid w:val="00D21B10"/>
    <w:rsid w:val="00D307D8"/>
    <w:rsid w:val="00D32625"/>
    <w:rsid w:val="00D40A36"/>
    <w:rsid w:val="00D40F38"/>
    <w:rsid w:val="00D41140"/>
    <w:rsid w:val="00D52E77"/>
    <w:rsid w:val="00D60F7C"/>
    <w:rsid w:val="00D65F48"/>
    <w:rsid w:val="00D72148"/>
    <w:rsid w:val="00D84A05"/>
    <w:rsid w:val="00D907DF"/>
    <w:rsid w:val="00D9227E"/>
    <w:rsid w:val="00D9414E"/>
    <w:rsid w:val="00DA21B8"/>
    <w:rsid w:val="00DB3C91"/>
    <w:rsid w:val="00DC0447"/>
    <w:rsid w:val="00DC4377"/>
    <w:rsid w:val="00DC4A4A"/>
    <w:rsid w:val="00DC6D26"/>
    <w:rsid w:val="00DD2646"/>
    <w:rsid w:val="00DD26EF"/>
    <w:rsid w:val="00DD5B74"/>
    <w:rsid w:val="00DE0AD4"/>
    <w:rsid w:val="00DE1B68"/>
    <w:rsid w:val="00DE4625"/>
    <w:rsid w:val="00DE761B"/>
    <w:rsid w:val="00DF6E1E"/>
    <w:rsid w:val="00E1755F"/>
    <w:rsid w:val="00E27570"/>
    <w:rsid w:val="00E34A9F"/>
    <w:rsid w:val="00E401FD"/>
    <w:rsid w:val="00E429C7"/>
    <w:rsid w:val="00E44A52"/>
    <w:rsid w:val="00E501E3"/>
    <w:rsid w:val="00E56AF3"/>
    <w:rsid w:val="00E617C5"/>
    <w:rsid w:val="00E65148"/>
    <w:rsid w:val="00E66D51"/>
    <w:rsid w:val="00E73B8A"/>
    <w:rsid w:val="00E742A7"/>
    <w:rsid w:val="00E76852"/>
    <w:rsid w:val="00E77F85"/>
    <w:rsid w:val="00E8706F"/>
    <w:rsid w:val="00E939F5"/>
    <w:rsid w:val="00EA3731"/>
    <w:rsid w:val="00EA6F1B"/>
    <w:rsid w:val="00EB7473"/>
    <w:rsid w:val="00EC14D2"/>
    <w:rsid w:val="00ED17FA"/>
    <w:rsid w:val="00ED6EA0"/>
    <w:rsid w:val="00EE1B3C"/>
    <w:rsid w:val="00EF4DBE"/>
    <w:rsid w:val="00EF7675"/>
    <w:rsid w:val="00F02A8D"/>
    <w:rsid w:val="00F12DEB"/>
    <w:rsid w:val="00F301A6"/>
    <w:rsid w:val="00F604E1"/>
    <w:rsid w:val="00F82A64"/>
    <w:rsid w:val="00F86B39"/>
    <w:rsid w:val="00FA0D6E"/>
    <w:rsid w:val="00FB1525"/>
    <w:rsid w:val="00FB57A6"/>
    <w:rsid w:val="00FC5B97"/>
    <w:rsid w:val="00FC5BDA"/>
    <w:rsid w:val="00FC6778"/>
    <w:rsid w:val="00FC6A75"/>
    <w:rsid w:val="00FD0A36"/>
    <w:rsid w:val="00FD2F96"/>
    <w:rsid w:val="00FE3BDA"/>
    <w:rsid w:val="00FF453E"/>
    <w:rsid w:val="00FF58B8"/>
    <w:rsid w:val="01181DD9"/>
    <w:rsid w:val="015B76C5"/>
    <w:rsid w:val="01630F53"/>
    <w:rsid w:val="016853DB"/>
    <w:rsid w:val="017C78FF"/>
    <w:rsid w:val="019329D2"/>
    <w:rsid w:val="019C23B2"/>
    <w:rsid w:val="01A26E08"/>
    <w:rsid w:val="01B31FD7"/>
    <w:rsid w:val="01DA1E97"/>
    <w:rsid w:val="01E22B26"/>
    <w:rsid w:val="01E65CA9"/>
    <w:rsid w:val="01E96C2E"/>
    <w:rsid w:val="021F326C"/>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C2759E"/>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0581B"/>
    <w:rsid w:val="08747AEC"/>
    <w:rsid w:val="08822685"/>
    <w:rsid w:val="08870D0B"/>
    <w:rsid w:val="08BA49DD"/>
    <w:rsid w:val="08EC7733"/>
    <w:rsid w:val="092B1819"/>
    <w:rsid w:val="092E279E"/>
    <w:rsid w:val="09343398"/>
    <w:rsid w:val="093E2A38"/>
    <w:rsid w:val="09546031"/>
    <w:rsid w:val="0955045F"/>
    <w:rsid w:val="09580C0A"/>
    <w:rsid w:val="09F856EA"/>
    <w:rsid w:val="0A164C9A"/>
    <w:rsid w:val="0A3A19D7"/>
    <w:rsid w:val="0AD017FF"/>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2B03C9"/>
    <w:rsid w:val="0D3835BD"/>
    <w:rsid w:val="0D8536BD"/>
    <w:rsid w:val="0DC44BFF"/>
    <w:rsid w:val="0DDE5050"/>
    <w:rsid w:val="0DEA0E63"/>
    <w:rsid w:val="0E083E00"/>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1BB5C4F"/>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894C60"/>
    <w:rsid w:val="329F430C"/>
    <w:rsid w:val="32CC1FE7"/>
    <w:rsid w:val="32D94927"/>
    <w:rsid w:val="32E95D13"/>
    <w:rsid w:val="336268C9"/>
    <w:rsid w:val="33683753"/>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1F7E3D"/>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447F7D"/>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6E3AA7"/>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B16FF2"/>
    <w:rsid w:val="4AC12232"/>
    <w:rsid w:val="4AE701C1"/>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7F33D7"/>
    <w:rsid w:val="4DC062CE"/>
    <w:rsid w:val="4DC34742"/>
    <w:rsid w:val="4DF30DF0"/>
    <w:rsid w:val="4DF420F5"/>
    <w:rsid w:val="4E001A1B"/>
    <w:rsid w:val="4E077A90"/>
    <w:rsid w:val="4E19322E"/>
    <w:rsid w:val="4E2F31D3"/>
    <w:rsid w:val="4E7A454C"/>
    <w:rsid w:val="4E914171"/>
    <w:rsid w:val="4EB621B3"/>
    <w:rsid w:val="4EBF34EE"/>
    <w:rsid w:val="4ED03238"/>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B57F0F"/>
    <w:rsid w:val="56E65920"/>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7F15336"/>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1A5D4D"/>
    <w:rsid w:val="5C525D0C"/>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6F81C3E"/>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2C5976"/>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3A34"/>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46763E"/>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43265A"/>
    <w:rsid w:val="786A240A"/>
    <w:rsid w:val="78913A5E"/>
    <w:rsid w:val="79147BBC"/>
    <w:rsid w:val="791F0D44"/>
    <w:rsid w:val="792A70D5"/>
    <w:rsid w:val="796A639A"/>
    <w:rsid w:val="7970564B"/>
    <w:rsid w:val="798526CC"/>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71305D"/>
    <w:rsid w:val="7BDD4DDA"/>
    <w:rsid w:val="7BEC215B"/>
    <w:rsid w:val="7C476FF2"/>
    <w:rsid w:val="7C5C5C93"/>
    <w:rsid w:val="7C9D7D81"/>
    <w:rsid w:val="7CBA3AAE"/>
    <w:rsid w:val="7CEA207E"/>
    <w:rsid w:val="7CF5040F"/>
    <w:rsid w:val="7D0D0F1C"/>
    <w:rsid w:val="7D1312C2"/>
    <w:rsid w:val="7D19734A"/>
    <w:rsid w:val="7D1F1254"/>
    <w:rsid w:val="7D2334DD"/>
    <w:rsid w:val="7D264462"/>
    <w:rsid w:val="7D271EE3"/>
    <w:rsid w:val="7D40500C"/>
    <w:rsid w:val="7D5B6EBA"/>
    <w:rsid w:val="7D867CFE"/>
    <w:rsid w:val="7D8B6384"/>
    <w:rsid w:val="7D996755"/>
    <w:rsid w:val="7D9F2E27"/>
    <w:rsid w:val="7DC10D1E"/>
    <w:rsid w:val="7DC242E0"/>
    <w:rsid w:val="7DDE038D"/>
    <w:rsid w:val="7DEA7A23"/>
    <w:rsid w:val="7DF0192C"/>
    <w:rsid w:val="7DF76D39"/>
    <w:rsid w:val="7E070738"/>
    <w:rsid w:val="7E1D36F5"/>
    <w:rsid w:val="7E1E3650"/>
    <w:rsid w:val="7E294F89"/>
    <w:rsid w:val="7E6263E8"/>
    <w:rsid w:val="7E640C98"/>
    <w:rsid w:val="7E765088"/>
    <w:rsid w:val="7E8C15C8"/>
    <w:rsid w:val="7E987174"/>
    <w:rsid w:val="7EAF2C64"/>
    <w:rsid w:val="7ECC6B47"/>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link w:val="98"/>
    <w:qFormat/>
    <w:uiPriority w:val="9"/>
    <w:pPr>
      <w:keepNext/>
      <w:keepLines/>
      <w:spacing w:before="340" w:after="330" w:line="578" w:lineRule="auto"/>
      <w:outlineLvl w:val="0"/>
    </w:pPr>
    <w:rPr>
      <w:b/>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2">
    <w:name w:val="heading 3"/>
    <w:basedOn w:val="1"/>
    <w:next w:val="1"/>
    <w:qFormat/>
    <w:uiPriority w:val="0"/>
    <w:pPr>
      <w:keepNext/>
      <w:keepLines/>
      <w:spacing w:before="260" w:after="260" w:line="415" w:lineRule="auto"/>
      <w:outlineLvl w:val="2"/>
    </w:pPr>
    <w:rPr>
      <w:b/>
      <w:sz w:val="32"/>
      <w:szCs w:val="32"/>
    </w:rPr>
  </w:style>
  <w:style w:type="paragraph" w:styleId="5">
    <w:name w:val="heading 4"/>
    <w:basedOn w:val="1"/>
    <w:next w:val="1"/>
    <w:link w:val="41"/>
    <w:qFormat/>
    <w:uiPriority w:val="0"/>
    <w:pPr>
      <w:keepNext/>
      <w:keepLines/>
      <w:adjustRightInd w:val="0"/>
      <w:spacing w:before="280" w:after="290" w:line="376" w:lineRule="atLeast"/>
      <w:outlineLvl w:val="3"/>
    </w:pPr>
    <w:rPr>
      <w:rFonts w:ascii="Arial" w:hAnsi="Arial" w:eastAsia="黑体"/>
      <w:b/>
      <w:sz w:val="28"/>
    </w:rPr>
  </w:style>
  <w:style w:type="paragraph" w:styleId="6">
    <w:name w:val="heading 5"/>
    <w:basedOn w:val="1"/>
    <w:next w:val="1"/>
    <w:link w:val="91"/>
    <w:qFormat/>
    <w:uiPriority w:val="0"/>
    <w:pPr>
      <w:keepNext/>
      <w:keepLines/>
      <w:adjustRightInd w:val="0"/>
      <w:spacing w:before="280" w:after="290" w:line="376" w:lineRule="atLeast"/>
      <w:outlineLvl w:val="4"/>
    </w:pPr>
    <w:rPr>
      <w:rFonts w:ascii="Times New Roman" w:hAnsi="Times New Roman"/>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Calibri"/>
      <w:kern w:val="2"/>
      <w:sz w:val="21"/>
      <w:szCs w:val="22"/>
    </w:rPr>
  </w:style>
  <w:style w:type="paragraph" w:styleId="8">
    <w:name w:val="Normal Indent"/>
    <w:basedOn w:val="1"/>
    <w:link w:val="46"/>
    <w:qFormat/>
    <w:uiPriority w:val="0"/>
    <w:pPr>
      <w:ind w:firstLine="420" w:firstLineChars="200"/>
    </w:pPr>
    <w:rPr>
      <w:rFonts w:ascii="Times New Roman"/>
      <w:kern w:val="2"/>
      <w:sz w:val="21"/>
      <w:szCs w:val="24"/>
    </w:rPr>
  </w:style>
  <w:style w:type="paragraph" w:styleId="9">
    <w:name w:val="Document Map"/>
    <w:basedOn w:val="1"/>
    <w:link w:val="100"/>
    <w:unhideWhenUsed/>
    <w:qFormat/>
    <w:uiPriority w:val="99"/>
    <w:pPr>
      <w:widowControl/>
      <w:jc w:val="left"/>
    </w:pPr>
    <w:rPr>
      <w:rFonts w:hAnsi="宋体"/>
      <w:sz w:val="18"/>
      <w:szCs w:val="18"/>
    </w:rPr>
  </w:style>
  <w:style w:type="paragraph" w:styleId="10">
    <w:name w:val="annotation text"/>
    <w:basedOn w:val="1"/>
    <w:link w:val="95"/>
    <w:qFormat/>
    <w:uiPriority w:val="0"/>
    <w:pPr>
      <w:jc w:val="left"/>
    </w:pPr>
    <w:rPr>
      <w:rFonts w:ascii="Times New Roman"/>
    </w:rPr>
  </w:style>
  <w:style w:type="paragraph" w:styleId="11">
    <w:name w:val="Body Text"/>
    <w:basedOn w:val="1"/>
    <w:qFormat/>
    <w:uiPriority w:val="0"/>
    <w:pPr>
      <w:spacing w:after="120"/>
    </w:pPr>
    <w:rPr>
      <w:rFonts w:ascii="Times New Roman"/>
    </w:rPr>
  </w:style>
  <w:style w:type="paragraph" w:styleId="12">
    <w:name w:val="Body Text Indent"/>
    <w:basedOn w:val="1"/>
    <w:link w:val="54"/>
    <w:qFormat/>
    <w:uiPriority w:val="99"/>
    <w:pPr>
      <w:ind w:firstLine="630"/>
    </w:pPr>
    <w:rPr>
      <w:rFonts w:ascii="Times New Roman"/>
      <w:kern w:val="2"/>
      <w:sz w:val="32"/>
    </w:rPr>
  </w:style>
  <w:style w:type="paragraph" w:styleId="13">
    <w:name w:val="toc 5"/>
    <w:basedOn w:val="1"/>
    <w:next w:val="1"/>
    <w:qFormat/>
    <w:uiPriority w:val="39"/>
    <w:pPr>
      <w:tabs>
        <w:tab w:val="right" w:leader="dot" w:pos="8296"/>
      </w:tabs>
      <w:ind w:left="1050" w:leftChars="500"/>
    </w:pPr>
    <w:rPr>
      <w:rFonts w:ascii="Calibri"/>
      <w:kern w:val="2"/>
      <w:sz w:val="21"/>
      <w:szCs w:val="22"/>
    </w:rPr>
  </w:style>
  <w:style w:type="paragraph" w:styleId="14">
    <w:name w:val="toc 3"/>
    <w:basedOn w:val="1"/>
    <w:next w:val="1"/>
    <w:qFormat/>
    <w:uiPriority w:val="39"/>
    <w:pPr>
      <w:ind w:left="840" w:leftChars="400"/>
    </w:pPr>
    <w:rPr>
      <w:rFonts w:ascii="Calibri"/>
      <w:kern w:val="2"/>
      <w:sz w:val="21"/>
      <w:szCs w:val="22"/>
    </w:rPr>
  </w:style>
  <w:style w:type="paragraph" w:styleId="15">
    <w:name w:val="Plain Text"/>
    <w:basedOn w:val="1"/>
    <w:link w:val="63"/>
    <w:qFormat/>
    <w:uiPriority w:val="0"/>
    <w:rPr>
      <w:rFonts w:hAnsi="Courier New"/>
      <w:kern w:val="2"/>
      <w:sz w:val="21"/>
    </w:rPr>
  </w:style>
  <w:style w:type="paragraph" w:styleId="16">
    <w:name w:val="toc 8"/>
    <w:basedOn w:val="1"/>
    <w:next w:val="1"/>
    <w:unhideWhenUsed/>
    <w:qFormat/>
    <w:uiPriority w:val="39"/>
    <w:pPr>
      <w:ind w:left="2940" w:leftChars="1400"/>
    </w:pPr>
    <w:rPr>
      <w:rFonts w:ascii="Calibri"/>
      <w:kern w:val="2"/>
      <w:sz w:val="21"/>
      <w:szCs w:val="22"/>
    </w:rPr>
  </w:style>
  <w:style w:type="paragraph" w:styleId="17">
    <w:name w:val="Date"/>
    <w:basedOn w:val="1"/>
    <w:next w:val="1"/>
    <w:link w:val="101"/>
    <w:unhideWhenUsed/>
    <w:qFormat/>
    <w:uiPriority w:val="99"/>
    <w:pPr>
      <w:widowControl/>
      <w:ind w:left="100" w:leftChars="2500"/>
      <w:jc w:val="left"/>
    </w:pPr>
    <w:rPr>
      <w:rFonts w:hAnsi="宋体"/>
      <w:sz w:val="24"/>
      <w:szCs w:val="24"/>
    </w:rPr>
  </w:style>
  <w:style w:type="paragraph" w:styleId="18">
    <w:name w:val="Body Text Indent 2"/>
    <w:basedOn w:val="1"/>
    <w:qFormat/>
    <w:uiPriority w:val="0"/>
    <w:pPr>
      <w:ind w:firstLine="630"/>
    </w:pPr>
    <w:rPr>
      <w:sz w:val="32"/>
      <w:szCs w:val="32"/>
    </w:rPr>
  </w:style>
  <w:style w:type="paragraph" w:styleId="19">
    <w:name w:val="Balloon Text"/>
    <w:basedOn w:val="1"/>
    <w:link w:val="97"/>
    <w:qFormat/>
    <w:uiPriority w:val="99"/>
    <w:rPr>
      <w:rFonts w:ascii="Times New Roman"/>
      <w:sz w:val="18"/>
      <w:szCs w:val="18"/>
    </w:rPr>
  </w:style>
  <w:style w:type="paragraph" w:styleId="20">
    <w:name w:val="footer"/>
    <w:basedOn w:val="1"/>
    <w:link w:val="102"/>
    <w:qFormat/>
    <w:uiPriority w:val="99"/>
    <w:pPr>
      <w:tabs>
        <w:tab w:val="center" w:pos="4140"/>
        <w:tab w:val="right" w:pos="8300"/>
      </w:tabs>
      <w:jc w:val="left"/>
    </w:pPr>
    <w:rPr>
      <w:sz w:val="18"/>
      <w:szCs w:val="18"/>
    </w:rPr>
  </w:style>
  <w:style w:type="paragraph" w:styleId="21">
    <w:name w:val="header"/>
    <w:basedOn w:val="1"/>
    <w:link w:val="103"/>
    <w:qFormat/>
    <w:uiPriority w:val="99"/>
    <w:pPr>
      <w:pBdr>
        <w:bottom w:val="single" w:color="000000" w:sz="6" w:space="1"/>
      </w:pBdr>
      <w:tabs>
        <w:tab w:val="center" w:pos="4140"/>
        <w:tab w:val="right" w:pos="8300"/>
      </w:tabs>
      <w:snapToGrid w:val="0"/>
      <w:jc w:val="center"/>
    </w:pPr>
    <w:rPr>
      <w:sz w:val="18"/>
    </w:rPr>
  </w:style>
  <w:style w:type="paragraph" w:styleId="22">
    <w:name w:val="toc 1"/>
    <w:basedOn w:val="1"/>
    <w:next w:val="1"/>
    <w:qFormat/>
    <w:uiPriority w:val="39"/>
  </w:style>
  <w:style w:type="paragraph" w:styleId="23">
    <w:name w:val="toc 4"/>
    <w:basedOn w:val="1"/>
    <w:next w:val="1"/>
    <w:qFormat/>
    <w:uiPriority w:val="39"/>
    <w:pPr>
      <w:tabs>
        <w:tab w:val="left" w:pos="1890"/>
        <w:tab w:val="right" w:leader="dot" w:pos="8296"/>
      </w:tabs>
      <w:ind w:left="630" w:leftChars="300"/>
    </w:pPr>
    <w:rPr>
      <w:rFonts w:ascii="Calibri"/>
      <w:kern w:val="2"/>
      <w:sz w:val="21"/>
      <w:szCs w:val="22"/>
    </w:rPr>
  </w:style>
  <w:style w:type="paragraph" w:styleId="24">
    <w:name w:val="Subtitle"/>
    <w:basedOn w:val="1"/>
    <w:next w:val="1"/>
    <w:link w:val="104"/>
    <w:qFormat/>
    <w:uiPriority w:val="11"/>
    <w:pPr>
      <w:widowControl/>
      <w:spacing w:before="240" w:after="60" w:line="312" w:lineRule="auto"/>
      <w:jc w:val="center"/>
      <w:outlineLvl w:val="1"/>
    </w:pPr>
    <w:rPr>
      <w:rFonts w:ascii="Calibri Light" w:hAnsi="Calibri Light"/>
      <w:b/>
      <w:bCs/>
      <w:kern w:val="28"/>
      <w:sz w:val="32"/>
      <w:szCs w:val="32"/>
    </w:rPr>
  </w:style>
  <w:style w:type="paragraph" w:styleId="25">
    <w:name w:val="toc 6"/>
    <w:basedOn w:val="1"/>
    <w:next w:val="1"/>
    <w:unhideWhenUsed/>
    <w:qFormat/>
    <w:uiPriority w:val="39"/>
    <w:pPr>
      <w:ind w:left="2100" w:leftChars="1000"/>
    </w:pPr>
    <w:rPr>
      <w:rFonts w:ascii="Calibri"/>
      <w:kern w:val="2"/>
      <w:sz w:val="21"/>
      <w:szCs w:val="22"/>
    </w:rPr>
  </w:style>
  <w:style w:type="paragraph" w:styleId="26">
    <w:name w:val="Body Text Indent 3"/>
    <w:basedOn w:val="1"/>
    <w:qFormat/>
    <w:uiPriority w:val="0"/>
    <w:pPr>
      <w:spacing w:after="120"/>
      <w:ind w:left="420" w:leftChars="200"/>
    </w:pPr>
    <w:rPr>
      <w:rFonts w:ascii="Times New Roman"/>
      <w:sz w:val="16"/>
      <w:szCs w:val="16"/>
    </w:rPr>
  </w:style>
  <w:style w:type="paragraph" w:styleId="27">
    <w:name w:val="toc 2"/>
    <w:basedOn w:val="1"/>
    <w:next w:val="1"/>
    <w:qFormat/>
    <w:uiPriority w:val="39"/>
    <w:pPr>
      <w:ind w:left="420" w:leftChars="200"/>
    </w:pPr>
    <w:rPr>
      <w:rFonts w:ascii="Times New Roman"/>
    </w:rPr>
  </w:style>
  <w:style w:type="paragraph" w:styleId="28">
    <w:name w:val="toc 9"/>
    <w:basedOn w:val="1"/>
    <w:next w:val="1"/>
    <w:unhideWhenUsed/>
    <w:qFormat/>
    <w:uiPriority w:val="39"/>
    <w:pPr>
      <w:ind w:left="3360" w:leftChars="1600"/>
    </w:pPr>
    <w:rPr>
      <w:rFonts w:ascii="Calibri"/>
      <w:kern w:val="2"/>
      <w:sz w:val="21"/>
      <w:szCs w:val="22"/>
    </w:rPr>
  </w:style>
  <w:style w:type="paragraph" w:styleId="29">
    <w:name w:val="Body Text 2"/>
    <w:basedOn w:val="1"/>
    <w:qFormat/>
    <w:uiPriority w:val="0"/>
    <w:pPr>
      <w:spacing w:line="480" w:lineRule="auto"/>
    </w:pPr>
    <w:rPr>
      <w:rFonts w:ascii="Times New Roman"/>
    </w:rPr>
  </w:style>
  <w:style w:type="paragraph" w:styleId="30">
    <w:name w:val="Normal (Web)"/>
    <w:basedOn w:val="1"/>
    <w:qFormat/>
    <w:uiPriority w:val="99"/>
    <w:pPr>
      <w:widowControl/>
      <w:spacing w:before="100" w:beforeAutospacing="1" w:after="100" w:afterAutospacing="1"/>
      <w:jc w:val="left"/>
    </w:pPr>
    <w:rPr>
      <w:rFonts w:hAnsi="宋体"/>
      <w:sz w:val="18"/>
      <w:szCs w:val="18"/>
    </w:rPr>
  </w:style>
  <w:style w:type="paragraph" w:styleId="31">
    <w:name w:val="Title"/>
    <w:basedOn w:val="1"/>
    <w:next w:val="1"/>
    <w:link w:val="105"/>
    <w:qFormat/>
    <w:uiPriority w:val="10"/>
    <w:pPr>
      <w:widowControl/>
      <w:spacing w:before="60" w:after="60"/>
      <w:jc w:val="center"/>
      <w:outlineLvl w:val="0"/>
    </w:pPr>
    <w:rPr>
      <w:rFonts w:ascii="Cambria" w:hAnsi="Cambria"/>
      <w:b/>
      <w:bCs/>
      <w:sz w:val="24"/>
      <w:szCs w:val="32"/>
    </w:rPr>
  </w:style>
  <w:style w:type="paragraph" w:styleId="32">
    <w:name w:val="annotation subject"/>
    <w:basedOn w:val="10"/>
    <w:next w:val="10"/>
    <w:link w:val="96"/>
    <w:qFormat/>
    <w:uiPriority w:val="99"/>
    <w:rPr>
      <w:rFonts w:hAnsi="Times New Roman"/>
      <w:b/>
      <w:bCs/>
      <w:kern w:val="2"/>
      <w:sz w:val="24"/>
      <w:szCs w:val="24"/>
    </w:rPr>
  </w:style>
  <w:style w:type="table" w:styleId="34">
    <w:name w:val="Table Grid"/>
    <w:basedOn w:val="3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ascii="Times New Roman" w:hAnsi="Times New Roman" w:eastAsia="宋体" w:cs="Times New Roman"/>
      <w:b/>
      <w:bCs/>
    </w:rPr>
  </w:style>
  <w:style w:type="character" w:styleId="37">
    <w:name w:val="page number"/>
    <w:qFormat/>
    <w:uiPriority w:val="99"/>
    <w:rPr>
      <w:rFonts w:ascii="Times New Roman" w:hAnsi="Times New Roman" w:eastAsia="宋体" w:cs="Times New Roman"/>
    </w:rPr>
  </w:style>
  <w:style w:type="character" w:styleId="38">
    <w:name w:val="FollowedHyperlink"/>
    <w:qFormat/>
    <w:uiPriority w:val="99"/>
    <w:rPr>
      <w:rFonts w:ascii="Arial" w:hAnsi="Arial" w:eastAsia="宋体" w:cs="Arial"/>
      <w:color w:val="007CD2"/>
      <w:sz w:val="24"/>
      <w:szCs w:val="24"/>
      <w:u w:val="none"/>
    </w:rPr>
  </w:style>
  <w:style w:type="character" w:styleId="39">
    <w:name w:val="Hyperlink"/>
    <w:qFormat/>
    <w:uiPriority w:val="99"/>
    <w:rPr>
      <w:rFonts w:ascii="Times New Roman" w:hAnsi="Times New Roman" w:eastAsia="宋体" w:cs="Times New Roman"/>
      <w:color w:val="0000FF"/>
      <w:u w:val="single"/>
    </w:rPr>
  </w:style>
  <w:style w:type="character" w:styleId="40">
    <w:name w:val="annotation reference"/>
    <w:qFormat/>
    <w:uiPriority w:val="0"/>
    <w:rPr>
      <w:rFonts w:cs="Times New Roman"/>
      <w:sz w:val="21"/>
      <w:szCs w:val="21"/>
    </w:rPr>
  </w:style>
  <w:style w:type="character" w:customStyle="1" w:styleId="41">
    <w:name w:val="标题 4 Char"/>
    <w:basedOn w:val="35"/>
    <w:link w:val="5"/>
    <w:qFormat/>
    <w:uiPriority w:val="0"/>
    <w:rPr>
      <w:rFonts w:ascii="Arial" w:hAnsi="Arial" w:eastAsia="黑体"/>
      <w:b/>
      <w:sz w:val="28"/>
    </w:rPr>
  </w:style>
  <w:style w:type="paragraph" w:customStyle="1" w:styleId="42">
    <w:name w:val="标题 5（有编号）（绿盟科技）"/>
    <w:basedOn w:val="1"/>
    <w:next w:val="4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4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4">
    <w:name w:val="font31"/>
    <w:qFormat/>
    <w:uiPriority w:val="0"/>
    <w:rPr>
      <w:rFonts w:hint="eastAsia" w:ascii="宋体" w:hAnsi="宋体" w:eastAsia="宋体" w:cs="宋体"/>
      <w:b/>
      <w:color w:val="000000"/>
      <w:sz w:val="22"/>
      <w:szCs w:val="22"/>
      <w:u w:val="none"/>
    </w:rPr>
  </w:style>
  <w:style w:type="character" w:customStyle="1" w:styleId="45">
    <w:name w:val="style1"/>
    <w:qFormat/>
    <w:uiPriority w:val="0"/>
    <w:rPr>
      <w:rFonts w:ascii="Times New Roman" w:hAnsi="Times New Roman" w:eastAsia="宋体" w:cs="Times New Roman"/>
    </w:rPr>
  </w:style>
  <w:style w:type="character" w:customStyle="1" w:styleId="46">
    <w:name w:val="正文缩进 Char"/>
    <w:link w:val="8"/>
    <w:qFormat/>
    <w:uiPriority w:val="0"/>
    <w:rPr>
      <w:rFonts w:ascii="Times New Roman" w:hAnsi="Times New Roman" w:eastAsia="宋体" w:cs="Times New Roman"/>
      <w:kern w:val="2"/>
      <w:sz w:val="21"/>
      <w:szCs w:val="24"/>
      <w:lang w:val="en-US" w:eastAsia="zh-CN" w:bidi="ar-SA"/>
    </w:rPr>
  </w:style>
  <w:style w:type="character" w:customStyle="1" w:styleId="47">
    <w:name w:val="apple-converted-space"/>
    <w:qFormat/>
    <w:uiPriority w:val="0"/>
    <w:rPr>
      <w:rFonts w:ascii="Times New Roman" w:hAnsi="Times New Roman" w:eastAsia="宋体" w:cs="Times New Roman"/>
    </w:rPr>
  </w:style>
  <w:style w:type="character" w:customStyle="1" w:styleId="48">
    <w:name w:val="font81"/>
    <w:qFormat/>
    <w:uiPriority w:val="0"/>
    <w:rPr>
      <w:rFonts w:hint="eastAsia" w:ascii="宋体" w:hAnsi="宋体" w:eastAsia="宋体" w:cs="宋体"/>
      <w:b/>
      <w:color w:val="000000"/>
      <w:sz w:val="22"/>
      <w:szCs w:val="22"/>
      <w:u w:val="none"/>
    </w:rPr>
  </w:style>
  <w:style w:type="character" w:customStyle="1" w:styleId="49">
    <w:name w:val="tdrownotice1"/>
    <w:qFormat/>
    <w:uiPriority w:val="0"/>
    <w:rPr>
      <w:rFonts w:hint="default" w:ascii="Times New Roman" w:hAnsi="Times New Roman" w:eastAsia="宋体" w:cs="Times New Roman"/>
      <w:sz w:val="22"/>
    </w:rPr>
  </w:style>
  <w:style w:type="character" w:customStyle="1" w:styleId="50">
    <w:name w:val="表正文 Char1"/>
    <w:qFormat/>
    <w:uiPriority w:val="0"/>
    <w:rPr>
      <w:rFonts w:ascii="Times New Roman" w:hAnsi="Times New Roman" w:eastAsia="宋体" w:cs="Times New Roman"/>
      <w:kern w:val="2"/>
      <w:sz w:val="21"/>
      <w:szCs w:val="24"/>
      <w:lang w:val="en-US" w:eastAsia="zh-CN" w:bidi="ar-SA"/>
    </w:rPr>
  </w:style>
  <w:style w:type="character" w:customStyle="1" w:styleId="51">
    <w:name w:val="font61"/>
    <w:qFormat/>
    <w:uiPriority w:val="0"/>
    <w:rPr>
      <w:rFonts w:hint="eastAsia" w:ascii="微软雅黑" w:hAnsi="微软雅黑" w:eastAsia="微软雅黑" w:cs="微软雅黑"/>
      <w:b/>
      <w:color w:val="000000"/>
      <w:sz w:val="22"/>
      <w:szCs w:val="22"/>
      <w:u w:val="none"/>
    </w:rPr>
  </w:style>
  <w:style w:type="character" w:customStyle="1" w:styleId="52">
    <w:name w:val="font71"/>
    <w:qFormat/>
    <w:uiPriority w:val="0"/>
    <w:rPr>
      <w:rFonts w:hint="eastAsia" w:ascii="宋体" w:hAnsi="宋体" w:eastAsia="宋体" w:cs="宋体"/>
      <w:color w:val="000000"/>
      <w:sz w:val="20"/>
      <w:szCs w:val="20"/>
      <w:u w:val="none"/>
    </w:rPr>
  </w:style>
  <w:style w:type="character" w:customStyle="1" w:styleId="53">
    <w:name w:val="font01"/>
    <w:qFormat/>
    <w:uiPriority w:val="0"/>
    <w:rPr>
      <w:rFonts w:hint="eastAsia" w:ascii="宋体" w:hAnsi="宋体" w:eastAsia="宋体" w:cs="宋体"/>
      <w:i/>
      <w:color w:val="000000"/>
      <w:sz w:val="20"/>
      <w:szCs w:val="20"/>
      <w:u w:val="none"/>
    </w:rPr>
  </w:style>
  <w:style w:type="character" w:customStyle="1" w:styleId="54">
    <w:name w:val="正文文本缩进 Char"/>
    <w:link w:val="12"/>
    <w:qFormat/>
    <w:uiPriority w:val="0"/>
    <w:rPr>
      <w:rFonts w:ascii="Times New Roman" w:hAnsi="Times New Roman" w:eastAsia="宋体" w:cs="Times New Roman"/>
      <w:kern w:val="2"/>
      <w:sz w:val="32"/>
      <w:lang w:val="en-US" w:eastAsia="zh-CN" w:bidi="ar-SA"/>
    </w:rPr>
  </w:style>
  <w:style w:type="character" w:customStyle="1" w:styleId="55">
    <w:name w:val="页码1"/>
    <w:qFormat/>
    <w:uiPriority w:val="0"/>
    <w:rPr>
      <w:rFonts w:ascii="Times New Roman" w:hAnsi="Times New Roman" w:eastAsia="宋体" w:cs="Times New Roman"/>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111"/>
    <w:qFormat/>
    <w:uiPriority w:val="0"/>
    <w:rPr>
      <w:rFonts w:hint="eastAsia" w:ascii="宋体" w:hAnsi="宋体" w:eastAsia="宋体" w:cs="宋体"/>
      <w:b/>
      <w:color w:val="000000"/>
      <w:sz w:val="32"/>
      <w:szCs w:val="32"/>
      <w:u w:val="none"/>
    </w:rPr>
  </w:style>
  <w:style w:type="character" w:customStyle="1" w:styleId="58">
    <w:name w:val="（符号）邀请函中一、"/>
    <w:qFormat/>
    <w:uiPriority w:val="0"/>
    <w:rPr>
      <w:rFonts w:ascii="黑体" w:hAnsi="黑体" w:eastAsia="黑体" w:cs="Times New Roman"/>
      <w:b/>
      <w:bCs/>
      <w:sz w:val="24"/>
    </w:rPr>
  </w:style>
  <w:style w:type="character" w:customStyle="1" w:styleId="59">
    <w:name w:val="font11"/>
    <w:qFormat/>
    <w:uiPriority w:val="0"/>
    <w:rPr>
      <w:rFonts w:hint="eastAsia" w:ascii="宋体" w:hAnsi="宋体" w:eastAsia="宋体" w:cs="宋体"/>
      <w:color w:val="000000"/>
      <w:sz w:val="24"/>
      <w:szCs w:val="24"/>
      <w:u w:val="none"/>
    </w:rPr>
  </w:style>
  <w:style w:type="character" w:customStyle="1" w:styleId="60">
    <w:name w:val="font21"/>
    <w:qFormat/>
    <w:uiPriority w:val="0"/>
    <w:rPr>
      <w:rFonts w:hint="eastAsia" w:ascii="宋体" w:hAnsi="宋体" w:eastAsia="宋体" w:cs="宋体"/>
      <w:color w:val="000000"/>
      <w:sz w:val="20"/>
      <w:szCs w:val="20"/>
      <w:u w:val="none"/>
    </w:rPr>
  </w:style>
  <w:style w:type="character" w:customStyle="1" w:styleId="61">
    <w:name w:val="左对齐的表内文字 Char"/>
    <w:link w:val="62"/>
    <w:qFormat/>
    <w:uiPriority w:val="0"/>
    <w:rPr>
      <w:rFonts w:ascii="Times New Roman" w:hAnsi="Times New Roman" w:eastAsia="仿宋_GB2312" w:cs="Times New Roman"/>
      <w:kern w:val="2"/>
      <w:sz w:val="21"/>
      <w:lang w:bidi="ar-SA"/>
    </w:rPr>
  </w:style>
  <w:style w:type="paragraph" w:customStyle="1" w:styleId="62">
    <w:name w:val="左对齐的表内文字"/>
    <w:basedOn w:val="1"/>
    <w:link w:val="61"/>
    <w:qFormat/>
    <w:uiPriority w:val="0"/>
    <w:rPr>
      <w:rFonts w:ascii="Times New Roman" w:eastAsia="仿宋_GB2312"/>
      <w:kern w:val="2"/>
      <w:sz w:val="21"/>
    </w:rPr>
  </w:style>
  <w:style w:type="character" w:customStyle="1" w:styleId="63">
    <w:name w:val="纯文本 Char"/>
    <w:link w:val="15"/>
    <w:qFormat/>
    <w:uiPriority w:val="0"/>
    <w:rPr>
      <w:rFonts w:ascii="宋体" w:hAnsi="Courier New" w:eastAsia="宋体" w:cs="Times New Roman"/>
      <w:kern w:val="2"/>
      <w:sz w:val="21"/>
      <w:lang w:val="en-US" w:eastAsia="zh-CN" w:bidi="ar-SA"/>
    </w:rPr>
  </w:style>
  <w:style w:type="paragraph" w:customStyle="1" w:styleId="64">
    <w:name w:val="_Style 3"/>
    <w:basedOn w:val="1"/>
    <w:qFormat/>
    <w:uiPriority w:val="34"/>
    <w:pPr>
      <w:ind w:firstLine="420" w:firstLineChars="200"/>
    </w:pPr>
  </w:style>
  <w:style w:type="paragraph" w:customStyle="1" w:styleId="6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66">
    <w:name w:val="_Style 2"/>
    <w:basedOn w:val="1"/>
    <w:qFormat/>
    <w:uiPriority w:val="34"/>
    <w:pPr>
      <w:ind w:firstLine="420" w:firstLineChars="200"/>
    </w:pPr>
    <w:rPr>
      <w:rFonts w:ascii="Calibri"/>
    </w:rPr>
  </w:style>
  <w:style w:type="paragraph" w:customStyle="1" w:styleId="67">
    <w:name w:val="标准文本"/>
    <w:basedOn w:val="1"/>
    <w:qFormat/>
    <w:uiPriority w:val="0"/>
    <w:pPr>
      <w:spacing w:line="360" w:lineRule="auto"/>
      <w:ind w:firstLine="480" w:firstLineChars="200"/>
    </w:pPr>
    <w:rPr>
      <w:rFonts w:ascii="Times New Roman" w:cs="宋体"/>
      <w:sz w:val="24"/>
    </w:rPr>
  </w:style>
  <w:style w:type="paragraph" w:customStyle="1" w:styleId="68">
    <w:name w:val="正文缩进3"/>
    <w:basedOn w:val="1"/>
    <w:qFormat/>
    <w:uiPriority w:val="0"/>
    <w:pPr>
      <w:autoSpaceDE w:val="0"/>
      <w:autoSpaceDN w:val="0"/>
      <w:adjustRightInd w:val="0"/>
      <w:ind w:firstLine="420"/>
    </w:pPr>
    <w:rPr>
      <w:rFonts w:ascii="Times New Roman"/>
      <w:szCs w:val="21"/>
    </w:rPr>
  </w:style>
  <w:style w:type="paragraph" w:customStyle="1" w:styleId="69">
    <w:name w:val="表格"/>
    <w:basedOn w:val="1"/>
    <w:qFormat/>
    <w:uiPriority w:val="0"/>
    <w:pPr>
      <w:spacing w:line="400" w:lineRule="exact"/>
    </w:pPr>
    <w:rPr>
      <w:rFonts w:ascii="Times New Roman"/>
      <w:sz w:val="24"/>
    </w:rPr>
  </w:style>
  <w:style w:type="paragraph" w:styleId="70">
    <w:name w:val="List Paragraph"/>
    <w:basedOn w:val="1"/>
    <w:qFormat/>
    <w:uiPriority w:val="0"/>
    <w:pPr>
      <w:ind w:firstLine="420" w:firstLineChars="200"/>
    </w:pPr>
    <w:rPr>
      <w:rFonts w:ascii="Times New Roman"/>
      <w:sz w:val="18"/>
      <w:szCs w:val="18"/>
    </w:rPr>
  </w:style>
  <w:style w:type="paragraph" w:customStyle="1" w:styleId="71">
    <w:name w:val="Char1 Char Char Char"/>
    <w:basedOn w:val="1"/>
    <w:qFormat/>
    <w:uiPriority w:val="0"/>
    <w:rPr>
      <w:rFonts w:ascii="Times New Roman" w:eastAsia="仿宋_GB2312"/>
      <w:sz w:val="28"/>
    </w:rPr>
  </w:style>
  <w:style w:type="paragraph" w:customStyle="1" w:styleId="72">
    <w:name w:val="正文首行缩进两字符"/>
    <w:basedOn w:val="1"/>
    <w:qFormat/>
    <w:uiPriority w:val="0"/>
    <w:pPr>
      <w:spacing w:line="360" w:lineRule="auto"/>
      <w:ind w:firstLine="200" w:firstLineChars="200"/>
    </w:pPr>
    <w:rPr>
      <w:rFonts w:ascii="Times New Roman"/>
    </w:rPr>
  </w:style>
  <w:style w:type="paragraph" w:customStyle="1" w:styleId="73">
    <w:name w:val="Body Text 22"/>
    <w:basedOn w:val="1"/>
    <w:qFormat/>
    <w:uiPriority w:val="0"/>
    <w:pPr>
      <w:adjustRightInd w:val="0"/>
      <w:spacing w:line="300" w:lineRule="auto"/>
      <w:jc w:val="center"/>
      <w:textAlignment w:val="baseline"/>
    </w:pPr>
    <w:rPr>
      <w:rFonts w:hAnsi="宋体"/>
      <w:sz w:val="24"/>
    </w:r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列出段落1"/>
    <w:basedOn w:val="1"/>
    <w:qFormat/>
    <w:uiPriority w:val="0"/>
    <w:pPr>
      <w:ind w:firstLine="420" w:firstLineChars="200"/>
    </w:pPr>
    <w:rPr>
      <w:rFonts w:ascii="Times New Roman"/>
    </w:rPr>
  </w:style>
  <w:style w:type="paragraph" w:customStyle="1" w:styleId="76">
    <w:name w:val="p0"/>
    <w:basedOn w:val="1"/>
    <w:qFormat/>
    <w:uiPriority w:val="0"/>
    <w:pPr>
      <w:widowControl/>
    </w:pPr>
    <w:rPr>
      <w:rFonts w:ascii="Times New Roman"/>
      <w:szCs w:val="21"/>
    </w:rPr>
  </w:style>
  <w:style w:type="paragraph" w:customStyle="1" w:styleId="77">
    <w:name w:val="左对齐的表内文字1"/>
    <w:basedOn w:val="1"/>
    <w:qFormat/>
    <w:uiPriority w:val="0"/>
    <w:rPr>
      <w:rFonts w:ascii="Times New Roman"/>
    </w:rPr>
  </w:style>
  <w:style w:type="paragraph" w:customStyle="1" w:styleId="78">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79">
    <w:name w:val="List Paragraph1"/>
    <w:basedOn w:val="1"/>
    <w:qFormat/>
    <w:uiPriority w:val="99"/>
    <w:pPr>
      <w:ind w:firstLine="420" w:firstLineChars="200"/>
    </w:pPr>
    <w:rPr>
      <w:rFonts w:ascii="Times New Roman"/>
      <w:szCs w:val="34"/>
    </w:rPr>
  </w:style>
  <w:style w:type="paragraph" w:customStyle="1" w:styleId="80">
    <w:name w:val="0"/>
    <w:qFormat/>
    <w:uiPriority w:val="0"/>
    <w:pPr>
      <w:snapToGrid w:val="0"/>
    </w:pPr>
    <w:rPr>
      <w:rFonts w:ascii="Calibri" w:hAnsi="Calibri" w:eastAsia="宋体" w:cs="Times New Roman"/>
      <w:lang w:val="en-US" w:eastAsia="zh-CN" w:bidi="ar-SA"/>
    </w:rPr>
  </w:style>
  <w:style w:type="paragraph" w:customStyle="1" w:styleId="81">
    <w:name w:val="pa-8"/>
    <w:basedOn w:val="1"/>
    <w:qFormat/>
    <w:uiPriority w:val="0"/>
    <w:pPr>
      <w:widowControl/>
      <w:spacing w:before="150" w:after="150"/>
      <w:jc w:val="left"/>
    </w:pPr>
    <w:rPr>
      <w:rFonts w:hAnsi="宋体" w:cs="宋体"/>
      <w:sz w:val="24"/>
      <w:szCs w:val="24"/>
    </w:rPr>
  </w:style>
  <w:style w:type="paragraph" w:customStyle="1" w:styleId="82">
    <w:name w:val="+正文"/>
    <w:basedOn w:val="1"/>
    <w:qFormat/>
    <w:uiPriority w:val="0"/>
    <w:pPr>
      <w:spacing w:line="360" w:lineRule="auto"/>
      <w:ind w:firstLine="200" w:firstLineChars="200"/>
    </w:pPr>
    <w:rPr>
      <w:rFonts w:ascii="Times New Roman" w:eastAsia="楷体_GB2312"/>
      <w:szCs w:val="28"/>
    </w:rPr>
  </w:style>
  <w:style w:type="paragraph" w:styleId="83">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84">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85">
    <w:name w:val="样式 首行缩进:  2 字符"/>
    <w:basedOn w:val="1"/>
    <w:qFormat/>
    <w:uiPriority w:val="0"/>
    <w:pPr>
      <w:spacing w:line="400" w:lineRule="exact"/>
      <w:ind w:firstLine="200" w:firstLineChars="200"/>
    </w:pPr>
    <w:rPr>
      <w:rFonts w:ascii="Times New Roman" w:cs="宋体"/>
      <w:sz w:val="24"/>
    </w:rPr>
  </w:style>
  <w:style w:type="paragraph" w:customStyle="1" w:styleId="86">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8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88">
    <w:name w:val="首行缩进"/>
    <w:basedOn w:val="1"/>
    <w:qFormat/>
    <w:uiPriority w:val="99"/>
    <w:pPr>
      <w:spacing w:line="360" w:lineRule="auto"/>
      <w:ind w:firstLine="480" w:firstLineChars="200"/>
      <w:jc w:val="left"/>
    </w:pPr>
    <w:rPr>
      <w:rFonts w:hAnsi="宋体"/>
      <w:sz w:val="24"/>
    </w:rPr>
  </w:style>
  <w:style w:type="paragraph" w:customStyle="1" w:styleId="89">
    <w:name w:val="正文 A"/>
    <w:next w:val="90"/>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90">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91">
    <w:name w:val="标题 5 Char"/>
    <w:basedOn w:val="35"/>
    <w:link w:val="6"/>
    <w:qFormat/>
    <w:uiPriority w:val="0"/>
    <w:rPr>
      <w:b/>
      <w:sz w:val="28"/>
    </w:rPr>
  </w:style>
  <w:style w:type="paragraph" w:customStyle="1" w:styleId="92">
    <w:name w:val="1.1.1.1A"/>
    <w:basedOn w:val="1"/>
    <w:qFormat/>
    <w:uiPriority w:val="0"/>
    <w:pPr>
      <w:tabs>
        <w:tab w:val="left" w:pos="1843"/>
      </w:tabs>
      <w:adjustRightInd w:val="0"/>
      <w:spacing w:before="60" w:after="60" w:line="400" w:lineRule="atLeast"/>
      <w:ind w:left="1560" w:right="200" w:hanging="426"/>
    </w:pPr>
    <w:rPr>
      <w:rFonts w:ascii="Arial" w:hAnsi="Arial"/>
      <w:sz w:val="24"/>
    </w:rPr>
  </w:style>
  <w:style w:type="character" w:customStyle="1" w:styleId="93">
    <w:name w:val="NormalCharacter"/>
    <w:semiHidden/>
    <w:qFormat/>
    <w:uiPriority w:val="0"/>
  </w:style>
  <w:style w:type="character" w:customStyle="1" w:styleId="94">
    <w:name w:val="批注文字 Char"/>
    <w:basedOn w:val="35"/>
    <w:uiPriority w:val="0"/>
    <w:rPr>
      <w:rFonts w:ascii="Times New Roman" w:hAnsi="Times New Roman" w:eastAsia="宋体" w:cs="Times New Roman"/>
      <w:kern w:val="2"/>
      <w:sz w:val="24"/>
      <w:szCs w:val="24"/>
    </w:rPr>
  </w:style>
  <w:style w:type="character" w:customStyle="1" w:styleId="95">
    <w:name w:val="批注文字 Char1"/>
    <w:basedOn w:val="35"/>
    <w:link w:val="10"/>
    <w:qFormat/>
    <w:uiPriority w:val="0"/>
    <w:rPr>
      <w:rFonts w:hAnsi="Calibri"/>
      <w:sz w:val="34"/>
    </w:rPr>
  </w:style>
  <w:style w:type="character" w:customStyle="1" w:styleId="96">
    <w:name w:val="批注主题 Char"/>
    <w:basedOn w:val="95"/>
    <w:link w:val="32"/>
    <w:qFormat/>
    <w:uiPriority w:val="99"/>
    <w:rPr>
      <w:rFonts w:hAnsi="Calibri"/>
      <w:b/>
      <w:bCs/>
      <w:kern w:val="2"/>
      <w:sz w:val="24"/>
      <w:szCs w:val="24"/>
    </w:rPr>
  </w:style>
  <w:style w:type="character" w:customStyle="1" w:styleId="97">
    <w:name w:val="批注框文本 Char"/>
    <w:basedOn w:val="35"/>
    <w:link w:val="19"/>
    <w:qFormat/>
    <w:uiPriority w:val="99"/>
    <w:rPr>
      <w:rFonts w:hAnsi="Calibri"/>
      <w:sz w:val="18"/>
      <w:szCs w:val="18"/>
    </w:rPr>
  </w:style>
  <w:style w:type="character" w:customStyle="1" w:styleId="98">
    <w:name w:val="标题 1 Char"/>
    <w:basedOn w:val="35"/>
    <w:link w:val="3"/>
    <w:qFormat/>
    <w:uiPriority w:val="9"/>
    <w:rPr>
      <w:rFonts w:ascii="宋体" w:hAnsi="Calibri"/>
      <w:b/>
      <w:kern w:val="44"/>
      <w:sz w:val="44"/>
      <w:szCs w:val="44"/>
    </w:rPr>
  </w:style>
  <w:style w:type="paragraph" w:customStyle="1" w:styleId="99">
    <w:name w:val="TOC 标题1"/>
    <w:basedOn w:val="3"/>
    <w:next w:val="1"/>
    <w:unhideWhenUsed/>
    <w:qFormat/>
    <w:uiPriority w:val="0"/>
    <w:pPr>
      <w:outlineLvl w:val="9"/>
    </w:pPr>
    <w:rPr>
      <w:rFonts w:ascii="Times New Roman" w:hAnsi="Times New Roman"/>
      <w:bCs/>
    </w:rPr>
  </w:style>
  <w:style w:type="character" w:customStyle="1" w:styleId="100">
    <w:name w:val="文档结构图 Char"/>
    <w:basedOn w:val="35"/>
    <w:link w:val="9"/>
    <w:qFormat/>
    <w:uiPriority w:val="99"/>
    <w:rPr>
      <w:rFonts w:ascii="宋体" w:hAnsi="宋体"/>
      <w:sz w:val="18"/>
      <w:szCs w:val="18"/>
    </w:rPr>
  </w:style>
  <w:style w:type="character" w:customStyle="1" w:styleId="101">
    <w:name w:val="日期 Char"/>
    <w:basedOn w:val="35"/>
    <w:link w:val="17"/>
    <w:qFormat/>
    <w:uiPriority w:val="99"/>
    <w:rPr>
      <w:rFonts w:ascii="宋体" w:hAnsi="宋体"/>
      <w:sz w:val="24"/>
      <w:szCs w:val="24"/>
    </w:rPr>
  </w:style>
  <w:style w:type="character" w:customStyle="1" w:styleId="102">
    <w:name w:val="页脚 Char"/>
    <w:link w:val="20"/>
    <w:qFormat/>
    <w:uiPriority w:val="99"/>
    <w:rPr>
      <w:rFonts w:ascii="宋体" w:hAnsi="Calibri"/>
      <w:sz w:val="18"/>
      <w:szCs w:val="18"/>
    </w:rPr>
  </w:style>
  <w:style w:type="character" w:customStyle="1" w:styleId="103">
    <w:name w:val="页眉 Char"/>
    <w:link w:val="21"/>
    <w:qFormat/>
    <w:uiPriority w:val="99"/>
    <w:rPr>
      <w:rFonts w:ascii="宋体" w:hAnsi="Calibri"/>
      <w:sz w:val="18"/>
    </w:rPr>
  </w:style>
  <w:style w:type="character" w:customStyle="1" w:styleId="104">
    <w:name w:val="副标题 Char"/>
    <w:basedOn w:val="35"/>
    <w:link w:val="24"/>
    <w:qFormat/>
    <w:uiPriority w:val="11"/>
    <w:rPr>
      <w:rFonts w:ascii="Calibri Light" w:hAnsi="Calibri Light"/>
      <w:b/>
      <w:bCs/>
      <w:kern w:val="28"/>
      <w:sz w:val="32"/>
      <w:szCs w:val="32"/>
    </w:rPr>
  </w:style>
  <w:style w:type="character" w:customStyle="1" w:styleId="105">
    <w:name w:val="标题 Char"/>
    <w:basedOn w:val="35"/>
    <w:link w:val="31"/>
    <w:qFormat/>
    <w:uiPriority w:val="10"/>
    <w:rPr>
      <w:rFonts w:ascii="Cambria" w:hAnsi="Cambria"/>
      <w:b/>
      <w:bCs/>
      <w:sz w:val="24"/>
      <w:szCs w:val="32"/>
    </w:rPr>
  </w:style>
  <w:style w:type="character" w:customStyle="1" w:styleId="106">
    <w:name w:val="标题 字符"/>
    <w:qFormat/>
    <w:uiPriority w:val="10"/>
    <w:rPr>
      <w:rFonts w:ascii="Cambria" w:hAnsi="Cambria"/>
      <w:b/>
      <w:bCs/>
      <w:sz w:val="24"/>
      <w:szCs w:val="32"/>
    </w:rPr>
  </w:style>
  <w:style w:type="character" w:customStyle="1" w:styleId="107">
    <w:name w:val="15"/>
    <w:qFormat/>
    <w:uiPriority w:val="0"/>
    <w:rPr>
      <w:rFonts w:hint="default" w:ascii="Times New Roman" w:hAnsi="Times New Roman" w:cs="Times New Roman"/>
      <w:color w:val="464445"/>
      <w:u w:val="none"/>
    </w:rPr>
  </w:style>
  <w:style w:type="paragraph" w:customStyle="1" w:styleId="108">
    <w:name w:val="stitle"/>
    <w:basedOn w:val="1"/>
    <w:qFormat/>
    <w:uiPriority w:val="0"/>
    <w:pPr>
      <w:widowControl/>
      <w:spacing w:before="100" w:beforeAutospacing="1" w:after="100" w:afterAutospacing="1"/>
      <w:jc w:val="left"/>
    </w:pPr>
    <w:rPr>
      <w:rFonts w:hAnsi="宋体" w:cs="宋体"/>
      <w:smallCaps/>
      <w:color w:val="000000"/>
      <w:sz w:val="20"/>
    </w:rPr>
  </w:style>
  <w:style w:type="paragraph" w:customStyle="1" w:styleId="109">
    <w:name w:val="zhang"/>
    <w:basedOn w:val="1"/>
    <w:qFormat/>
    <w:uiPriority w:val="0"/>
    <w:pPr>
      <w:widowControl/>
      <w:spacing w:before="100" w:beforeAutospacing="1" w:after="100" w:afterAutospacing="1"/>
      <w:jc w:val="left"/>
    </w:pPr>
    <w:rPr>
      <w:rFonts w:hAnsi="宋体" w:cs="宋体"/>
      <w:b/>
      <w:bCs/>
      <w:smallCaps/>
      <w:color w:val="000000"/>
      <w:sz w:val="20"/>
    </w:rPr>
  </w:style>
  <w:style w:type="paragraph" w:customStyle="1" w:styleId="110">
    <w:name w:val="tiao"/>
    <w:basedOn w:val="1"/>
    <w:qFormat/>
    <w:uiPriority w:val="0"/>
    <w:pPr>
      <w:widowControl/>
      <w:shd w:val="clear" w:color="auto" w:fill="AFEEEE"/>
      <w:spacing w:before="100" w:beforeAutospacing="1" w:after="100" w:afterAutospacing="1"/>
      <w:jc w:val="left"/>
    </w:pPr>
    <w:rPr>
      <w:rFonts w:hAnsi="宋体" w:cs="宋体"/>
      <w:i/>
      <w:iCs/>
      <w:smallCaps/>
      <w:color w:val="6600CC"/>
      <w:sz w:val="20"/>
    </w:rPr>
  </w:style>
  <w:style w:type="paragraph" w:customStyle="1" w:styleId="111">
    <w:name w:val="content"/>
    <w:basedOn w:val="1"/>
    <w:qFormat/>
    <w:uiPriority w:val="0"/>
    <w:pPr>
      <w:widowControl/>
      <w:spacing w:before="100" w:beforeAutospacing="1" w:after="100" w:afterAutospacing="1" w:line="384" w:lineRule="auto"/>
      <w:jc w:val="left"/>
    </w:pPr>
    <w:rPr>
      <w:rFonts w:hAnsi="宋体" w:cs="宋体"/>
      <w:sz w:val="18"/>
      <w:szCs w:val="18"/>
    </w:rPr>
  </w:style>
  <w:style w:type="paragraph" w:customStyle="1" w:styleId="112">
    <w:name w:val="mtitle"/>
    <w:basedOn w:val="1"/>
    <w:qFormat/>
    <w:uiPriority w:val="0"/>
    <w:pPr>
      <w:widowControl/>
      <w:spacing w:before="100" w:beforeAutospacing="1" w:after="100" w:afterAutospacing="1" w:line="336" w:lineRule="auto"/>
      <w:jc w:val="left"/>
    </w:pPr>
    <w:rPr>
      <w:rFonts w:hAnsi="宋体" w:cs="宋体"/>
      <w:b/>
      <w:bCs/>
      <w:smallCaps/>
      <w:color w:val="000000"/>
      <w:sz w:val="20"/>
    </w:rPr>
  </w:style>
  <w:style w:type="paragraph" w:customStyle="1" w:styleId="113">
    <w:name w:val="mnotes"/>
    <w:basedOn w:val="1"/>
    <w:qFormat/>
    <w:uiPriority w:val="0"/>
    <w:pPr>
      <w:widowControl/>
      <w:shd w:val="clear" w:color="auto" w:fill="AFEEEE"/>
      <w:spacing w:before="100" w:beforeAutospacing="1" w:after="100" w:afterAutospacing="1" w:line="336" w:lineRule="auto"/>
      <w:jc w:val="left"/>
    </w:pPr>
    <w:rPr>
      <w:rFonts w:hAnsi="宋体" w:cs="宋体"/>
      <w:smallCaps/>
      <w:color w:val="008080"/>
      <w:sz w:val="20"/>
    </w:rPr>
  </w:style>
  <w:style w:type="paragraph" w:customStyle="1" w:styleId="114">
    <w:name w:val="p17"/>
    <w:basedOn w:val="1"/>
    <w:qFormat/>
    <w:uiPriority w:val="0"/>
    <w:pPr>
      <w:widowControl/>
    </w:pPr>
    <w:rPr>
      <w:rFonts w:ascii="Times New Roman" w:hAnsi="Times New Roman"/>
      <w:sz w:val="21"/>
      <w:szCs w:val="21"/>
    </w:rPr>
  </w:style>
  <w:style w:type="paragraph" w:customStyle="1" w:styleId="115">
    <w:name w:val="tiaonoa"/>
    <w:basedOn w:val="1"/>
    <w:qFormat/>
    <w:uiPriority w:val="0"/>
    <w:pPr>
      <w:widowControl/>
      <w:spacing w:before="100" w:beforeAutospacing="1" w:after="100" w:afterAutospacing="1"/>
      <w:jc w:val="left"/>
    </w:pPr>
    <w:rPr>
      <w:rFonts w:hAnsi="宋体" w:cs="宋体"/>
      <w:b/>
      <w:bCs/>
      <w:smallCaps/>
      <w:color w:val="000000"/>
      <w:sz w:val="18"/>
      <w:szCs w:val="18"/>
    </w:rPr>
  </w:style>
  <w:style w:type="paragraph" w:customStyle="1" w:styleId="116">
    <w:name w:val="tiaoyin"/>
    <w:basedOn w:val="1"/>
    <w:qFormat/>
    <w:uiPriority w:val="0"/>
    <w:pPr>
      <w:widowControl/>
      <w:spacing w:before="100" w:beforeAutospacing="1" w:after="100" w:afterAutospacing="1"/>
      <w:jc w:val="left"/>
    </w:pPr>
    <w:rPr>
      <w:rFonts w:hAnsi="宋体" w:cs="宋体"/>
      <w:smallCaps/>
      <w:color w:val="FF0000"/>
      <w:sz w:val="20"/>
    </w:rPr>
  </w:style>
  <w:style w:type="character" w:customStyle="1" w:styleId="117">
    <w:name w:val="Char Char2"/>
    <w:qFormat/>
    <w:uiPriority w:val="11"/>
    <w:rPr>
      <w:rFonts w:ascii="Calibri Light" w:hAnsi="Calibri Light" w:cs="Times New Roman"/>
      <w:b/>
      <w:bCs/>
      <w:kern w:val="28"/>
      <w:sz w:val="32"/>
      <w:szCs w:val="32"/>
    </w:rPr>
  </w:style>
  <w:style w:type="character" w:customStyle="1" w:styleId="118">
    <w:name w:val="Char Char1"/>
    <w:qFormat/>
    <w:uiPriority w:val="10"/>
    <w:rPr>
      <w:rFonts w:ascii="Cambria" w:hAnsi="Cambria"/>
      <w:b/>
      <w:bCs/>
      <w:sz w:val="24"/>
      <w:szCs w:val="32"/>
    </w:rPr>
  </w:style>
  <w:style w:type="paragraph" w:customStyle="1" w:styleId="119">
    <w:name w:val="修订1"/>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A7CA9-2107-44D6-8A8C-D94AE391347D}">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20</Pages>
  <Words>7228</Words>
  <Characters>7622</Characters>
  <Lines>169</Lines>
  <Paragraphs>47</Paragraphs>
  <TotalTime>18</TotalTime>
  <ScaleCrop>false</ScaleCrop>
  <LinksUpToDate>false</LinksUpToDate>
  <CharactersWithSpaces>10137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2023-04-12T07:03:00Z</dcterms:created>
  <dc:creator>微软用户</dc:creator>
  <cp:lastModifiedBy>Administrator</cp:lastModifiedBy>
  <cp:lastPrinted>2023-04-25T09:12:00Z</cp:lastPrinted>
  <dcterms:modified xsi:type="dcterms:W3CDTF">2023-05-11T08:26:28Z</dcterms:modified>
  <dc:title>招标编号：SCSZ-2013-02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DF04ABB388BD4B68A65CF82E0804A232_13</vt:lpwstr>
  </property>
</Properties>
</file>